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7FB9B" w14:textId="77777777" w:rsidR="0084284D" w:rsidRPr="00F22B7E" w:rsidRDefault="0084284D" w:rsidP="0084284D">
      <w:pPr>
        <w:spacing w:after="0" w:line="276" w:lineRule="auto"/>
        <w:ind w:firstLine="0"/>
        <w:jc w:val="lowKashida"/>
        <w:rPr>
          <w:rFonts w:ascii="Calibri" w:eastAsia="Calibri" w:hAnsi="Calibri" w:cs="B Lotus"/>
          <w:sz w:val="28"/>
          <w:szCs w:val="28"/>
          <w:lang w:bidi="fa-IR"/>
        </w:rPr>
      </w:pPr>
      <w:bookmarkStart w:id="0" w:name="_GoBack"/>
      <w:bookmarkEnd w:id="0"/>
      <w:r w:rsidRPr="00F22B7E">
        <w:rPr>
          <w:rFonts w:ascii="Calibri" w:eastAsia="Calibri" w:hAnsi="Calibri" w:cs="B Lotus" w:hint="cs"/>
          <w:sz w:val="28"/>
          <w:szCs w:val="28"/>
          <w:highlight w:val="green"/>
          <w:rtl/>
          <w:lang w:bidi="fa-IR"/>
        </w:rPr>
        <w:t>منابع</w:t>
      </w:r>
    </w:p>
    <w:p w14:paraId="1E8C093B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Calibri" w:eastAsia="Calibri" w:hAnsi="Calibri" w:cs="B Lotus"/>
          <w:sz w:val="28"/>
          <w:szCs w:val="28"/>
          <w:lang w:bidi="fa-IR"/>
        </w:rPr>
      </w:pP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قرآن کریم.</w:t>
      </w:r>
    </w:p>
    <w:p w14:paraId="7D4ADE72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نهج‌البلاغه.</w:t>
      </w:r>
    </w:p>
    <w:p w14:paraId="3C44AD3B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اخوان کاظمی، بهرام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؛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درآمدی بر کارآمدی در نظام سیاسی؛ تهران، دانش و اندیشه، 1383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ش.</w:t>
      </w:r>
    </w:p>
    <w:p w14:paraId="31B686FA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امینی، عبدالحسین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؛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الغدیر؛ قم، مرکز الغدیر للدراسات الاسلامیه، 1390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ق.</w:t>
      </w:r>
    </w:p>
    <w:p w14:paraId="4264F6CB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ابن‌بابویه، محمد‌بن‌علی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؛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من لا یحضر الفقیه؛ قم، مؤسسه النشر الاسلامی التابعه لجماعه المدرسین، 1363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ش.</w:t>
      </w:r>
    </w:p>
    <w:p w14:paraId="365C98A6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</w:rPr>
      </w:pPr>
      <w:r w:rsidRPr="00F22B7E">
        <w:rPr>
          <w:rFonts w:ascii="Calibri" w:eastAsia="Calibri" w:hAnsi="Calibri" w:cs="B Lotus" w:hint="cs"/>
          <w:sz w:val="28"/>
          <w:szCs w:val="28"/>
          <w:rtl/>
        </w:rPr>
        <w:t>ابوفتوح رازی، حسین‌بن‌علی</w:t>
      </w:r>
      <w:r w:rsidRPr="00F22B7E">
        <w:rPr>
          <w:rFonts w:ascii="Calibri" w:eastAsia="Calibri" w:hAnsi="Calibri" w:cs="B Lotus"/>
          <w:sz w:val="28"/>
          <w:szCs w:val="28"/>
          <w:rtl/>
        </w:rPr>
        <w:t xml:space="preserve">؛ </w:t>
      </w:r>
      <w:r w:rsidRPr="00F22B7E">
        <w:rPr>
          <w:rFonts w:ascii="Calibri" w:eastAsia="Calibri" w:hAnsi="Calibri" w:cs="B Lotus" w:hint="cs"/>
          <w:sz w:val="28"/>
          <w:szCs w:val="28"/>
          <w:rtl/>
        </w:rPr>
        <w:t>روض الجنان و روح‌الجنان فی تفسیرالقرآن؛ مشهد، بنیاد پژوهش‌های آستان قدس رضوی، 1408</w:t>
      </w:r>
      <w:r w:rsidRPr="00F22B7E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</w:rPr>
        <w:t>ق.</w:t>
      </w:r>
    </w:p>
    <w:p w14:paraId="1958D60C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احمدیان، ابراهیم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؛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نهج الفصاحه؛ قم، گلستان ادب، 1385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ش.</w:t>
      </w:r>
    </w:p>
    <w:p w14:paraId="0018579D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ایزدی، حجت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softHyphen/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اله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؛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«مطالعه تطبیقی مکتب نخبه‌گرایی و بحث خواص»؛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مصباح، شماره 23، 1376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ش.</w:t>
      </w:r>
    </w:p>
    <w:p w14:paraId="40E5DFED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ترابی یوسف؛ اجماع نظر نخبگان سیاسی و توسعه در جمهوری اسلامی ایران؛ تهران، دانشگاه امام صادق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(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ع)، 1388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ش.</w:t>
      </w:r>
    </w:p>
    <w:p w14:paraId="4DCC6249" w14:textId="77777777" w:rsidR="0084284D" w:rsidRPr="00F22B7E" w:rsidRDefault="0084284D" w:rsidP="0084284D">
      <w:pPr>
        <w:numPr>
          <w:ilvl w:val="0"/>
          <w:numId w:val="1"/>
        </w:numPr>
        <w:spacing w:after="0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F22B7E">
        <w:rPr>
          <w:rFonts w:ascii="Adobe Arabic" w:eastAsia="Times New Roman" w:hAnsi="Adobe Arabic" w:cs="B Lotus" w:hint="cs"/>
          <w:sz w:val="28"/>
          <w:szCs w:val="28"/>
          <w:rtl/>
          <w:lang w:bidi="fa-IR"/>
        </w:rPr>
        <w:t>توحیدفام،</w:t>
      </w:r>
      <w:r w:rsidRPr="00F22B7E">
        <w:rPr>
          <w:rFonts w:ascii="Adobe Arabic" w:eastAsia="Times New Roman" w:hAnsi="Adobe Arabic" w:cs="B Lotus"/>
          <w:sz w:val="28"/>
          <w:szCs w:val="28"/>
          <w:rtl/>
          <w:lang w:bidi="fa-IR"/>
        </w:rPr>
        <w:t xml:space="preserve"> محمد؛ </w:t>
      </w:r>
      <w:r w:rsidRPr="00F22B7E">
        <w:rPr>
          <w:rFonts w:ascii="Adobe Arabic" w:eastAsia="Times New Roman" w:hAnsi="Adobe Arabic" w:cs="B Lotus" w:hint="cs"/>
          <w:sz w:val="28"/>
          <w:szCs w:val="28"/>
          <w:rtl/>
          <w:lang w:bidi="fa-IR"/>
        </w:rPr>
        <w:t>«</w:t>
      </w:r>
      <w:r w:rsidRPr="00F22B7E">
        <w:rPr>
          <w:rFonts w:ascii="Adobe Arabic" w:eastAsia="Times New Roman" w:hAnsi="Adobe Arabic" w:cs="B Lotus"/>
          <w:sz w:val="28"/>
          <w:szCs w:val="28"/>
          <w:rtl/>
          <w:lang w:bidi="fa-IR"/>
        </w:rPr>
        <w:t>موانع</w:t>
      </w:r>
      <w:r w:rsidRPr="00F22B7E">
        <w:rPr>
          <w:rFonts w:ascii="Adobe Arabic" w:eastAsia="Times New Roman" w:hAnsi="Adobe Arabic" w:cs="B Lotus" w:hint="cs"/>
          <w:sz w:val="28"/>
          <w:szCs w:val="28"/>
          <w:rtl/>
          <w:lang w:bidi="fa-IR"/>
        </w:rPr>
        <w:t xml:space="preserve"> توسعه فرهنگی در ایران بر اساس رهیافت‌های متفاوت توسعه»؛ مجله دانشکده حقوق و علوم سیاسی دانشگاه تهران، شماره 49، 1379</w:t>
      </w:r>
      <w:r w:rsidRPr="00F22B7E">
        <w:rPr>
          <w:rFonts w:ascii="Adobe Arabic" w:eastAsia="Times New Roman" w:hAnsi="Adobe Arabic" w:cs="B Lotus"/>
          <w:sz w:val="28"/>
          <w:szCs w:val="28"/>
          <w:rtl/>
          <w:lang w:bidi="fa-IR"/>
        </w:rPr>
        <w:t xml:space="preserve"> ش</w:t>
      </w:r>
      <w:r w:rsidRPr="00F22B7E">
        <w:rPr>
          <w:rFonts w:ascii="Adobe Arabic" w:eastAsia="Times New Roman" w:hAnsi="Adobe Arabic" w:cs="B Lotus" w:hint="cs"/>
          <w:sz w:val="28"/>
          <w:szCs w:val="28"/>
          <w:rtl/>
          <w:lang w:bidi="fa-IR"/>
        </w:rPr>
        <w:t>.</w:t>
      </w:r>
    </w:p>
    <w:p w14:paraId="34E3742B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توین پی،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آرنولد؛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بررسی تاریخ تمدن؛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ترجمه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softHyphen/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ی محمدحسین آریا؛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تهران،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امیرکبیر، 1376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ش.</w:t>
      </w:r>
    </w:p>
    <w:p w14:paraId="14EC73CF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خاتمی،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سید احمد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؛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عبرت‌های عاشورا؛ قم، دفتر تبلیغات اسلامی، 1379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ش.</w:t>
      </w:r>
    </w:p>
    <w:p w14:paraId="4E238C0A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</w:rPr>
      </w:pPr>
      <w:r w:rsidRPr="00F22B7E">
        <w:rPr>
          <w:rFonts w:ascii="Calibri" w:eastAsia="Calibri" w:hAnsi="Calibri" w:cs="B Lotus" w:hint="cs"/>
          <w:sz w:val="28"/>
          <w:szCs w:val="28"/>
          <w:rtl/>
        </w:rPr>
        <w:t>جعفری، یعقوب</w:t>
      </w:r>
      <w:r w:rsidRPr="00F22B7E">
        <w:rPr>
          <w:rFonts w:ascii="Calibri" w:eastAsia="Calibri" w:hAnsi="Calibri" w:cs="B Lotus"/>
          <w:sz w:val="28"/>
          <w:szCs w:val="28"/>
          <w:rtl/>
        </w:rPr>
        <w:t xml:space="preserve">؛ </w:t>
      </w:r>
      <w:r w:rsidRPr="00F22B7E">
        <w:rPr>
          <w:rFonts w:ascii="Calibri" w:eastAsia="Calibri" w:hAnsi="Calibri" w:cs="B Lotus" w:hint="cs"/>
          <w:sz w:val="28"/>
          <w:szCs w:val="28"/>
          <w:rtl/>
        </w:rPr>
        <w:t>تفسیر کوثر؛ 1374</w:t>
      </w:r>
      <w:r w:rsidRPr="00F22B7E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</w:rPr>
        <w:t>ش.</w:t>
      </w:r>
    </w:p>
    <w:p w14:paraId="44C02C2E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دژاکام، علی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؛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منشور مطالبات مقام معظم رهبری از دانشگاه و دانشگاهیان؛ قم، معارف، 1390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ش.</w:t>
      </w:r>
    </w:p>
    <w:p w14:paraId="1B6BC4AB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دشتی، محمد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؛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فرهنگ سخنان امام حسین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(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ع)؛ قم، مشهور، 1381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ش.</w:t>
      </w:r>
    </w:p>
    <w:p w14:paraId="10649370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lastRenderedPageBreak/>
        <w:t>ــــــــــــ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؛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ترجمه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softHyphen/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ی نهج‌البلاغه؛ قم، مؤسسه تحقیقاتی امیرالمؤمنین، 1382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ش.</w:t>
      </w:r>
    </w:p>
    <w:p w14:paraId="7D78F5D1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دهخدا، علی‌اکبر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؛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لغت‌نامه؛ تهران، دانشگاه تهران، 1377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ش.</w:t>
      </w:r>
    </w:p>
    <w:p w14:paraId="247B53BB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Calibri" w:eastAsia="Calibri" w:hAnsi="Calibri" w:cs="B Lotus"/>
          <w:sz w:val="28"/>
          <w:szCs w:val="28"/>
          <w:lang w:bidi="fa-IR"/>
        </w:rPr>
      </w:pP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روشه، گی؛ تغییرات اجتماعی؛ ترجمه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softHyphen/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ی منصور وثوقی؛ تهران، نبی، 1370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ش.</w:t>
      </w:r>
    </w:p>
    <w:p w14:paraId="2A47E9B4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زلفی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softHyphen/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گل، محمدعلی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؛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«مهاجرت ژن‌ها»؛ فصلنامه سیاست علمی و پژوهشی رهیافت، شماره 34، 1383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ش.</w:t>
      </w:r>
    </w:p>
    <w:p w14:paraId="23DD5DC8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زکریای کرمانی، ایمان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>؛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«تبیین اهمیت شناخت مفاخر برای هویت فرهنگی معاصر ایران»؛ مطالعات فرهنگی ارتباطات، شماره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63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،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1394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ش.</w:t>
      </w:r>
    </w:p>
    <w:p w14:paraId="7E638EC1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عباسی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softHyphen/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مقدم، مصطفی؛ نقش اسوه‌ها در تبلیغ؛ قم، سازمان تبلیغات اسلامی، 1371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ش.</w:t>
      </w:r>
    </w:p>
    <w:p w14:paraId="4C687ECB" w14:textId="77777777" w:rsidR="0084284D" w:rsidRPr="00F22B7E" w:rsidRDefault="0084284D" w:rsidP="0084284D">
      <w:pPr>
        <w:numPr>
          <w:ilvl w:val="0"/>
          <w:numId w:val="1"/>
        </w:numPr>
        <w:spacing w:after="0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F22B7E">
        <w:rPr>
          <w:rFonts w:ascii="Adobe Arabic" w:eastAsia="Times New Roman" w:hAnsi="Adobe Arabic" w:cs="B Lotus" w:hint="cs"/>
          <w:sz w:val="28"/>
          <w:szCs w:val="28"/>
          <w:rtl/>
          <w:lang w:bidi="fa-IR"/>
        </w:rPr>
        <w:t xml:space="preserve">علاءالدین، سید </w:t>
      </w:r>
      <w:r w:rsidRPr="00F22B7E">
        <w:rPr>
          <w:rFonts w:ascii="Adobe Arabic" w:eastAsia="Times New Roman" w:hAnsi="Adobe Arabic" w:cs="B Lotus"/>
          <w:sz w:val="28"/>
          <w:szCs w:val="28"/>
          <w:rtl/>
          <w:lang w:bidi="fa-IR"/>
        </w:rPr>
        <w:t xml:space="preserve">محمدرضا؛ </w:t>
      </w:r>
      <w:r w:rsidRPr="00F22B7E">
        <w:rPr>
          <w:rFonts w:ascii="Adobe Arabic" w:eastAsia="Times New Roman" w:hAnsi="Adobe Arabic" w:cs="B Lotus" w:hint="cs"/>
          <w:sz w:val="28"/>
          <w:szCs w:val="28"/>
          <w:rtl/>
          <w:lang w:bidi="fa-IR"/>
        </w:rPr>
        <w:t>قرآن کریم و راهکارهای توسعه و پیشرفت تمدن اسلامی؛ کوثر، شماره 44، 1391</w:t>
      </w:r>
      <w:r w:rsidRPr="00F22B7E">
        <w:rPr>
          <w:rFonts w:ascii="Adobe Arabic" w:eastAsia="Times New Roman" w:hAnsi="Adobe Arabic" w:cs="B Lotus"/>
          <w:sz w:val="28"/>
          <w:szCs w:val="28"/>
          <w:rtl/>
          <w:lang w:bidi="fa-IR"/>
        </w:rPr>
        <w:t xml:space="preserve"> ش</w:t>
      </w:r>
      <w:r w:rsidRPr="00F22B7E">
        <w:rPr>
          <w:rFonts w:ascii="Adobe Arabic" w:eastAsia="Times New Roman" w:hAnsi="Adobe Arabic" w:cs="B Lotus" w:hint="cs"/>
          <w:sz w:val="28"/>
          <w:szCs w:val="28"/>
          <w:rtl/>
          <w:lang w:bidi="fa-IR"/>
        </w:rPr>
        <w:t>.</w:t>
      </w:r>
    </w:p>
    <w:p w14:paraId="5FD5152D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commentRangeStart w:id="1"/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عیاشی، محمد‌بن‌مسعود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؛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تفسیر عیاشی؛ محقق هاشم رسولی؛ تهران، مکتبه العلمیه الاسلامیه، 260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ق.</w:t>
      </w:r>
      <w:commentRangeEnd w:id="1"/>
      <w:r w:rsidRPr="00F22B7E">
        <w:rPr>
          <w:sz w:val="16"/>
          <w:szCs w:val="16"/>
          <w:rtl/>
        </w:rPr>
        <w:commentReference w:id="1"/>
      </w:r>
    </w:p>
    <w:p w14:paraId="0C9A3A9D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سروری مجد، علی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؛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«قرآن و آرمان‌گرایی»؛ سراج منیر، سال چهارم، شماره 12، 1392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ش.</w:t>
      </w:r>
    </w:p>
    <w:p w14:paraId="13C755A8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F22B7E">
        <w:rPr>
          <w:rFonts w:ascii="Adobe Arabic" w:eastAsia="Times New Roman" w:hAnsi="Adobe Arabic" w:cs="B Lotus" w:hint="cs"/>
          <w:sz w:val="28"/>
          <w:szCs w:val="28"/>
          <w:rtl/>
          <w:lang w:bidi="fa-IR"/>
        </w:rPr>
        <w:t>سریع</w:t>
      </w:r>
      <w:r w:rsidRPr="00F22B7E">
        <w:rPr>
          <w:rFonts w:ascii="Adobe Arabic" w:eastAsia="Times New Roman" w:hAnsi="Adobe Arabic" w:cs="B Lotus"/>
          <w:sz w:val="28"/>
          <w:szCs w:val="28"/>
          <w:rtl/>
          <w:lang w:bidi="fa-IR"/>
        </w:rPr>
        <w:softHyphen/>
      </w:r>
      <w:r w:rsidRPr="00F22B7E">
        <w:rPr>
          <w:rFonts w:ascii="Adobe Arabic" w:eastAsia="Times New Roman" w:hAnsi="Adobe Arabic" w:cs="B Lotus" w:hint="cs"/>
          <w:sz w:val="28"/>
          <w:szCs w:val="28"/>
          <w:rtl/>
          <w:lang w:bidi="fa-IR"/>
        </w:rPr>
        <w:t xml:space="preserve">القلم، </w:t>
      </w:r>
      <w:r w:rsidRPr="00F22B7E">
        <w:rPr>
          <w:rFonts w:ascii="Adobe Arabic" w:eastAsia="Times New Roman" w:hAnsi="Adobe Arabic" w:cs="B Lotus"/>
          <w:sz w:val="28"/>
          <w:szCs w:val="28"/>
          <w:rtl/>
          <w:lang w:bidi="fa-IR"/>
        </w:rPr>
        <w:t xml:space="preserve">محمود؛ </w:t>
      </w:r>
      <w:r w:rsidRPr="00F22B7E">
        <w:rPr>
          <w:rFonts w:ascii="Adobe Arabic" w:eastAsia="Times New Roman" w:hAnsi="Adobe Arabic" w:cs="B Lotus" w:hint="cs"/>
          <w:sz w:val="28"/>
          <w:szCs w:val="28"/>
          <w:rtl/>
          <w:lang w:bidi="fa-IR"/>
        </w:rPr>
        <w:t xml:space="preserve">«نظریه انسجام درونی»؛ نامه فرهنگ،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شماره </w:t>
      </w:r>
      <w:r w:rsidRPr="00F22B7E">
        <w:rPr>
          <w:rFonts w:ascii="Adobe Arabic" w:eastAsia="Times New Roman" w:hAnsi="Adobe Arabic" w:cs="B Lotus" w:hint="cs"/>
          <w:sz w:val="28"/>
          <w:szCs w:val="28"/>
          <w:rtl/>
          <w:lang w:bidi="fa-IR"/>
        </w:rPr>
        <w:t>13، 1373</w:t>
      </w:r>
      <w:r w:rsidRPr="00F22B7E">
        <w:rPr>
          <w:rFonts w:ascii="Adobe Arabic" w:eastAsia="Times New Roman" w:hAnsi="Adobe Arabic" w:cs="B Lotus"/>
          <w:sz w:val="28"/>
          <w:szCs w:val="28"/>
          <w:rtl/>
          <w:lang w:bidi="fa-IR"/>
        </w:rPr>
        <w:t xml:space="preserve"> ش</w:t>
      </w:r>
      <w:r w:rsidRPr="00F22B7E">
        <w:rPr>
          <w:rFonts w:ascii="Adobe Arabic" w:eastAsia="Times New Roman" w:hAnsi="Adobe Arabic" w:cs="B Lotus" w:hint="cs"/>
          <w:sz w:val="28"/>
          <w:szCs w:val="28"/>
          <w:rtl/>
          <w:lang w:bidi="fa-IR"/>
        </w:rPr>
        <w:t>.</w:t>
      </w:r>
    </w:p>
    <w:p w14:paraId="612DBF7B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سیوطی،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جلال‌الدین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؛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درالمنثور؛ قم، کتابخانه آیت‌الله مرعشی نجفی، 1404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ق.</w:t>
      </w:r>
    </w:p>
    <w:p w14:paraId="3317CD64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شیخاوندی، داور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؛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«جهانی‌شدن و هویت فرهنگی محلی»؛ رشد و آموزش علوم اجتماعی، شماره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23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، 1383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ش.</w:t>
      </w:r>
    </w:p>
    <w:p w14:paraId="332F4AE6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F22B7E">
        <w:rPr>
          <w:rFonts w:ascii="Calibri" w:eastAsia="Calibri" w:hAnsi="Calibri" w:cs="B Lotus" w:hint="cs"/>
          <w:sz w:val="28"/>
          <w:szCs w:val="28"/>
          <w:rtl/>
        </w:rPr>
        <w:t>طباطبایی، سید محمدحسین</w:t>
      </w:r>
      <w:r w:rsidRPr="00F22B7E">
        <w:rPr>
          <w:rFonts w:ascii="Calibri" w:eastAsia="Calibri" w:hAnsi="Calibri" w:cs="B Lotus"/>
          <w:sz w:val="28"/>
          <w:szCs w:val="28"/>
          <w:rtl/>
        </w:rPr>
        <w:t xml:space="preserve">؛ </w:t>
      </w:r>
      <w:r w:rsidRPr="00F22B7E">
        <w:rPr>
          <w:rFonts w:ascii="Calibri" w:eastAsia="Calibri" w:hAnsi="Calibri" w:cs="B Lotus" w:hint="cs"/>
          <w:sz w:val="28"/>
          <w:szCs w:val="28"/>
          <w:rtl/>
        </w:rPr>
        <w:t>المیزان فی تفسیرالقرآن؛ قم، دفتر انتشارات جامعه مدرسین حوزه علمیه قم، 1417</w:t>
      </w:r>
      <w:r w:rsidRPr="00F22B7E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</w:rPr>
        <w:t>ق.</w:t>
      </w:r>
    </w:p>
    <w:p w14:paraId="38591DAA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Calibri" w:eastAsia="Calibri" w:hAnsi="Calibri" w:cs="B Lotus"/>
          <w:sz w:val="28"/>
          <w:szCs w:val="28"/>
          <w:lang w:bidi="fa-IR"/>
        </w:rPr>
      </w:pP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طبرسی، فضل‌بن‌حسن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؛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مجمع‌البیان؛ تهران، ناصرخسرو، 1373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ش.</w:t>
      </w:r>
    </w:p>
    <w:p w14:paraId="4DD3E0DE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commentRangeStart w:id="2"/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طوسی، محمد‌بن‌حسن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؛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الامالی؛ قم، قسم الدراسات الاسلامیه مؤسسه البعثه، 460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ق.</w:t>
      </w:r>
      <w:commentRangeEnd w:id="2"/>
      <w:r w:rsidRPr="00F22B7E">
        <w:rPr>
          <w:sz w:val="16"/>
          <w:szCs w:val="16"/>
          <w:rtl/>
        </w:rPr>
        <w:commentReference w:id="2"/>
      </w:r>
    </w:p>
    <w:p w14:paraId="546683E2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طیب، سید عبدالحسین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؛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اطیب البیان فی تفسیر القرآن؛ تهران، اسلام، 1378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ش.</w:t>
      </w:r>
    </w:p>
    <w:p w14:paraId="7BDE49C4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Calibri" w:eastAsia="Calibri" w:hAnsi="Calibri" w:cs="B Lotus"/>
          <w:sz w:val="28"/>
          <w:szCs w:val="28"/>
          <w:lang w:bidi="fa-IR"/>
        </w:rPr>
      </w:pP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فکوهی، ناصر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؛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«هویت فرهنگی چیست و مؤلفه‌هایش کدامند؟»؛ انسان‌شناسی و فرهنگ</w:t>
      </w:r>
    </w:p>
    <w:p w14:paraId="19C0EE26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Calibri" w:eastAsia="Calibri" w:hAnsi="Calibri" w:cs="B Lotus"/>
          <w:sz w:val="28"/>
          <w:szCs w:val="28"/>
          <w:lang w:bidi="fa-IR"/>
        </w:rPr>
      </w:pPr>
      <w:r w:rsidRPr="00F22B7E">
        <w:rPr>
          <w:rFonts w:ascii="Calibri" w:eastAsia="Calibri" w:hAnsi="Calibri" w:cs="B Lotus"/>
          <w:sz w:val="28"/>
          <w:szCs w:val="28"/>
          <w:lang w:bidi="fa-IR"/>
        </w:rPr>
        <w:lastRenderedPageBreak/>
        <w:t>http: // anthropology.ir/node/8409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، 1389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ش.</w:t>
      </w:r>
    </w:p>
    <w:p w14:paraId="197CEAB8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Calibri" w:eastAsia="Calibri" w:hAnsi="Calibri" w:cs="B Lotus"/>
          <w:sz w:val="28"/>
          <w:szCs w:val="28"/>
          <w:lang w:bidi="fa-IR"/>
        </w:rPr>
      </w:pP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قرشی، سید علی‌اکبر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؛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تفسیر احسن الحدیث؛ تهران، بنیاد بعثت، 1377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ش.</w:t>
      </w:r>
    </w:p>
    <w:p w14:paraId="6845502F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Adobe Arabic" w:eastAsia="Calibri" w:hAnsi="Adobe Arabic" w:cs="B Lotus"/>
          <w:sz w:val="28"/>
          <w:szCs w:val="28"/>
          <w:rtl/>
          <w:lang w:bidi="fa-IR"/>
        </w:rPr>
      </w:pPr>
      <w:r w:rsidRPr="00F22B7E">
        <w:rPr>
          <w:rFonts w:ascii="Adobe Arabic" w:eastAsia="Calibri" w:hAnsi="Adobe Arabic" w:cs="B Lotus" w:hint="cs"/>
          <w:sz w:val="28"/>
          <w:szCs w:val="28"/>
          <w:rtl/>
          <w:lang w:bidi="fa-IR"/>
        </w:rPr>
        <w:t xml:space="preserve">عطاآبادی، </w:t>
      </w:r>
      <w:r w:rsidRPr="00F22B7E">
        <w:rPr>
          <w:rFonts w:ascii="Adobe Arabic" w:eastAsia="Calibri" w:hAnsi="Adobe Arabic" w:cs="B Lotus"/>
          <w:sz w:val="28"/>
          <w:szCs w:val="28"/>
          <w:rtl/>
          <w:lang w:bidi="fa-IR"/>
        </w:rPr>
        <w:t>حس</w:t>
      </w:r>
      <w:r w:rsidRPr="00F22B7E">
        <w:rPr>
          <w:rFonts w:ascii="Adobe Arabic" w:eastAsia="Calibri" w:hAnsi="Adobe Arabic" w:cs="B Lotus" w:hint="cs"/>
          <w:sz w:val="28"/>
          <w:szCs w:val="28"/>
          <w:rtl/>
          <w:lang w:bidi="fa-IR"/>
        </w:rPr>
        <w:t>ین</w:t>
      </w:r>
      <w:r w:rsidRPr="00F22B7E">
        <w:rPr>
          <w:rFonts w:ascii="Adobe Arabic" w:eastAsia="Calibri" w:hAnsi="Adobe Arabic" w:cs="B Lotus"/>
          <w:sz w:val="28"/>
          <w:szCs w:val="28"/>
          <w:rtl/>
          <w:lang w:bidi="fa-IR"/>
        </w:rPr>
        <w:t xml:space="preserve">؛ </w:t>
      </w:r>
      <w:r w:rsidRPr="00F22B7E">
        <w:rPr>
          <w:rFonts w:ascii="Adobe Arabic" w:eastAsia="Calibri" w:hAnsi="Adobe Arabic" w:cs="B Lotus" w:hint="cs"/>
          <w:sz w:val="28"/>
          <w:szCs w:val="28"/>
          <w:rtl/>
          <w:lang w:bidi="fa-IR"/>
        </w:rPr>
        <w:t>استعدادیابی و استعداد پروری؛ تهران، امید مجد، 1388</w:t>
      </w:r>
      <w:r w:rsidRPr="00F22B7E">
        <w:rPr>
          <w:rFonts w:ascii="Adobe Arabic" w:eastAsia="Calibri" w:hAnsi="Adobe Arabic" w:cs="B Lotus"/>
          <w:sz w:val="28"/>
          <w:szCs w:val="28"/>
          <w:rtl/>
          <w:lang w:bidi="fa-IR"/>
        </w:rPr>
        <w:t xml:space="preserve"> ش</w:t>
      </w:r>
      <w:r w:rsidRPr="00F22B7E">
        <w:rPr>
          <w:rFonts w:ascii="Adobe Arabic" w:eastAsia="Calibri" w:hAnsi="Adobe Arabic" w:cs="B Lotus" w:hint="cs"/>
          <w:sz w:val="28"/>
          <w:szCs w:val="28"/>
          <w:rtl/>
          <w:lang w:bidi="fa-IR"/>
        </w:rPr>
        <w:t>.</w:t>
      </w:r>
    </w:p>
    <w:p w14:paraId="462215E2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-کلینی، محمد‌بن‌یعقوب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؛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الاصول من الکافی؛ تصحیح علی‌اکبر غفاری؛ چاپ سوم، قم، دارالکتب الاسلامیه، 1407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ق.</w:t>
      </w:r>
    </w:p>
    <w:p w14:paraId="24AE4DC7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-گلکار، بهزاد و وحید ناصحی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softHyphen/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فر؛ «مروری بر مفاهیم شایسته‌سالاری»؛ توسعه و مدیریت، شماره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39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، 1381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ش.</w:t>
      </w:r>
    </w:p>
    <w:p w14:paraId="4DEA9A7E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معین، محمد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؛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فرهنگ معین؛ تهران، نما، 1387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ش.</w:t>
      </w:r>
    </w:p>
    <w:p w14:paraId="3C35AD63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مجلسی محمدباقر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؛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بحارالانوار؛ بیروت، دار احیاء التراث العربی، 1403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ق.</w:t>
      </w:r>
    </w:p>
    <w:p w14:paraId="72499218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معرفت، محمدهادی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؛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جامعه مدنی؛ قم، التمهید، 1378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ش.</w:t>
      </w:r>
    </w:p>
    <w:p w14:paraId="0B76887A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F22B7E">
        <w:rPr>
          <w:rFonts w:ascii="Calibri" w:eastAsia="Calibri" w:hAnsi="Calibri" w:cs="B Lotus" w:hint="cs"/>
          <w:sz w:val="28"/>
          <w:szCs w:val="28"/>
          <w:rtl/>
        </w:rPr>
        <w:t>مکارم شیرازی، ناصر</w:t>
      </w:r>
      <w:r w:rsidRPr="00F22B7E">
        <w:rPr>
          <w:rFonts w:ascii="Calibri" w:eastAsia="Calibri" w:hAnsi="Calibri" w:cs="B Lotus"/>
          <w:sz w:val="28"/>
          <w:szCs w:val="28"/>
          <w:rtl/>
        </w:rPr>
        <w:t xml:space="preserve">؛ </w:t>
      </w:r>
      <w:r w:rsidRPr="00F22B7E">
        <w:rPr>
          <w:rFonts w:ascii="Calibri" w:eastAsia="Calibri" w:hAnsi="Calibri" w:cs="B Lotus" w:hint="cs"/>
          <w:sz w:val="28"/>
          <w:szCs w:val="28"/>
          <w:rtl/>
        </w:rPr>
        <w:t>تفسیر نمونه؛ قم، دارالکتب الاسلامیه، 1374</w:t>
      </w:r>
      <w:r w:rsidRPr="00F22B7E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</w:rPr>
        <w:t>ش.</w:t>
      </w:r>
    </w:p>
    <w:p w14:paraId="5D5E5735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موسوی خمینی، سید روح‌الله؛ منشور روحانیت در صحیفه امام؛ قم، مؤسسه تنظیم و نشر آثار امام خمینی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(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ره)، 1374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ش.</w:t>
      </w:r>
    </w:p>
    <w:p w14:paraId="07447083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مهیمنی، محمدعلی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؛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نخبه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softHyphen/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شناسی در جامعه کشی؛ تهران، ثالث، 1377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ش.</w:t>
      </w:r>
    </w:p>
    <w:p w14:paraId="679D066A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نصر اصفهانی، مهدی و علی نصر اصفهانی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؛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«شایسته‌سالاری در مدیریت جامعه با تأکید بر اندیشه‌های سیاسی امام علی»، معرفت سیاسی 2،</w:t>
      </w:r>
      <w:commentRangeStart w:id="3"/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1380</w:t>
      </w:r>
      <w:commentRangeEnd w:id="3"/>
      <w:r w:rsidRPr="00F22B7E">
        <w:rPr>
          <w:sz w:val="16"/>
          <w:szCs w:val="16"/>
          <w:rtl/>
        </w:rPr>
        <w:commentReference w:id="3"/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،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1370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ش.</w:t>
      </w:r>
    </w:p>
    <w:p w14:paraId="0E0BEC86" w14:textId="77777777" w:rsidR="0084284D" w:rsidRPr="00F22B7E" w:rsidRDefault="0084284D" w:rsidP="0084284D">
      <w:pPr>
        <w:numPr>
          <w:ilvl w:val="0"/>
          <w:numId w:val="1"/>
        </w:numPr>
        <w:spacing w:after="0" w:line="27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همدانی،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سید محمدباقر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؛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ترجمه المیزان؛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قم، دفتر انتشارات اسلامی جامعه مدرسین قم، 1374</w:t>
      </w:r>
      <w:r w:rsidRPr="00F22B7E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F22B7E">
        <w:rPr>
          <w:rFonts w:ascii="Calibri" w:eastAsia="Calibri" w:hAnsi="Calibri" w:cs="B Lotus" w:hint="cs"/>
          <w:sz w:val="28"/>
          <w:szCs w:val="28"/>
          <w:rtl/>
          <w:lang w:bidi="fa-IR"/>
        </w:rPr>
        <w:t>ش.</w:t>
      </w:r>
    </w:p>
    <w:p w14:paraId="7A7D8640" w14:textId="77777777" w:rsidR="0084284D" w:rsidRPr="00F22B7E" w:rsidRDefault="0084284D" w:rsidP="0084284D">
      <w:pPr>
        <w:bidi w:val="0"/>
        <w:spacing w:after="0" w:line="276" w:lineRule="auto"/>
        <w:ind w:firstLine="0"/>
        <w:jc w:val="lowKashida"/>
        <w:rPr>
          <w:rFonts w:asciiTheme="majorBidi" w:eastAsia="Calibri" w:hAnsiTheme="majorBidi" w:cstheme="majorBidi"/>
          <w:sz w:val="28"/>
          <w:szCs w:val="28"/>
          <w:rtl/>
          <w:lang w:bidi="fa-IR"/>
        </w:rPr>
      </w:pPr>
      <w:r w:rsidRPr="00F22B7E">
        <w:rPr>
          <w:rFonts w:asciiTheme="majorBidi" w:eastAsia="Calibri" w:hAnsiTheme="majorBidi" w:cstheme="majorBidi"/>
          <w:sz w:val="28"/>
          <w:szCs w:val="28"/>
          <w:lang w:bidi="fa-IR"/>
        </w:rPr>
        <w:t>46. Castell,Manuel, The Rise of the network society. Oxford: BlackwellEdgerton,Robert. B,Langness, Lewisl, (1974),methods, and styles in the study of culture Novato, Califor nia: chandler (sharp), 1998.</w:t>
      </w:r>
    </w:p>
    <w:p w14:paraId="3C944095" w14:textId="77777777" w:rsidR="0084284D" w:rsidRPr="00F22B7E" w:rsidRDefault="0084284D" w:rsidP="0084284D">
      <w:pPr>
        <w:bidi w:val="0"/>
        <w:spacing w:after="0" w:line="276" w:lineRule="auto"/>
        <w:ind w:firstLine="0"/>
        <w:jc w:val="lowKashida"/>
        <w:rPr>
          <w:rFonts w:asciiTheme="majorBidi" w:eastAsia="Calibri" w:hAnsiTheme="majorBidi" w:cstheme="majorBidi"/>
          <w:sz w:val="28"/>
          <w:szCs w:val="28"/>
          <w:rtl/>
          <w:lang w:bidi="fa-IR"/>
        </w:rPr>
      </w:pPr>
      <w:r w:rsidRPr="00F22B7E">
        <w:rPr>
          <w:rFonts w:asciiTheme="majorBidi" w:eastAsia="Calibri" w:hAnsiTheme="majorBidi" w:cstheme="majorBidi"/>
          <w:sz w:val="28"/>
          <w:szCs w:val="28"/>
          <w:lang w:bidi="fa-IR"/>
        </w:rPr>
        <w:t>47. Krotayer, Andrey, world Religions and social Evolution of world oikumene civili zation: Across cultural perspective(first ed). Lewiston, New York: Edwin Mellen press, 2004.</w:t>
      </w:r>
    </w:p>
    <w:p w14:paraId="1E7E6D5F" w14:textId="77777777" w:rsidR="0084284D" w:rsidRPr="00F22B7E" w:rsidRDefault="0084284D" w:rsidP="0084284D">
      <w:pPr>
        <w:bidi w:val="0"/>
        <w:spacing w:after="0" w:line="276" w:lineRule="auto"/>
        <w:ind w:firstLine="0"/>
        <w:jc w:val="lowKashida"/>
        <w:rPr>
          <w:rFonts w:asciiTheme="majorBidi" w:eastAsia="Calibri" w:hAnsiTheme="majorBidi" w:cstheme="majorBidi"/>
          <w:sz w:val="28"/>
          <w:szCs w:val="28"/>
          <w:rtl/>
          <w:lang w:bidi="fa-IR"/>
        </w:rPr>
      </w:pPr>
      <w:r w:rsidRPr="00F22B7E">
        <w:rPr>
          <w:rFonts w:asciiTheme="majorBidi" w:eastAsia="Calibri" w:hAnsiTheme="majorBidi" w:cstheme="majorBidi"/>
          <w:sz w:val="28"/>
          <w:szCs w:val="28"/>
          <w:lang w:bidi="fa-IR"/>
        </w:rPr>
        <w:lastRenderedPageBreak/>
        <w:t>48. Michel.Melissa.The corrosive effect of acculturation: How Mexican Amexicans Lose Policals trust,social science quarterly,84,4,2003.</w:t>
      </w:r>
    </w:p>
    <w:p w14:paraId="733695CC" w14:textId="77777777" w:rsidR="0084284D" w:rsidRPr="00F22B7E" w:rsidRDefault="0084284D" w:rsidP="0084284D">
      <w:pPr>
        <w:spacing w:after="0" w:line="276" w:lineRule="auto"/>
        <w:ind w:firstLine="284"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</w:p>
    <w:p w14:paraId="101DAD78" w14:textId="77777777" w:rsidR="0084284D" w:rsidRDefault="0084284D" w:rsidP="0084284D"/>
    <w:p w14:paraId="5D949FE5" w14:textId="77777777" w:rsidR="0086308E" w:rsidRDefault="0086308E"/>
    <w:sectPr w:rsidR="0086308E" w:rsidSect="00BD4C27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ALAMTOO" w:date="2019-07-25T17:02:00Z" w:initials="A">
    <w:p w14:paraId="459BB049" w14:textId="77777777" w:rsidR="0084284D" w:rsidRDefault="0084284D" w:rsidP="0084284D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>در متن استفاده نشده است. حذف شود.</w:t>
      </w:r>
    </w:p>
  </w:comment>
  <w:comment w:id="2" w:author="ALAMTOO" w:date="2019-07-25T17:02:00Z" w:initials="A">
    <w:p w14:paraId="00C6ADA0" w14:textId="77777777" w:rsidR="0084284D" w:rsidRDefault="0084284D" w:rsidP="0084284D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Fonts w:hint="cs"/>
          <w:rtl/>
        </w:rPr>
        <w:t>در متن استفاده نشده است. چنانچه ارجاعش حذف شده، این منبع نیز حذف شود.</w:t>
      </w:r>
    </w:p>
  </w:comment>
  <w:comment w:id="3" w:author="ALAMTOO" w:date="2019-07-25T16:58:00Z" w:initials="A">
    <w:p w14:paraId="60FF8314" w14:textId="77777777" w:rsidR="0084284D" w:rsidRDefault="0084284D" w:rsidP="0084284D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>تاریخ 1380 درست است یا 1370؟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9BB049" w15:done="0"/>
  <w15:commentEx w15:paraId="00C6ADA0" w15:done="0"/>
  <w15:commentEx w15:paraId="60FF831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0806"/>
    <w:multiLevelType w:val="hybridMultilevel"/>
    <w:tmpl w:val="06ECF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4D"/>
    <w:rsid w:val="0084284D"/>
    <w:rsid w:val="0086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F529E"/>
  <w15:chartTrackingRefBased/>
  <w15:docId w15:val="{8F09A4A4-66B7-471C-A9E0-4877DB10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bidi/>
        <w:spacing w:line="120" w:lineRule="auto"/>
        <w:ind w:firstLine="720"/>
        <w:jc w:val="lowKashida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84D"/>
    <w:pPr>
      <w:spacing w:after="160" w:line="240" w:lineRule="auto"/>
      <w:jc w:val="left"/>
    </w:pPr>
    <w:rPr>
      <w:rFonts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428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8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84D"/>
    <w:rPr>
      <w:rFonts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84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598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ebad jolaii</dc:creator>
  <cp:keywords/>
  <dc:description/>
  <cp:lastModifiedBy>ebad jolaii</cp:lastModifiedBy>
  <cp:revision>1</cp:revision>
  <dcterms:created xsi:type="dcterms:W3CDTF">2019-12-09T06:28:00Z</dcterms:created>
  <dcterms:modified xsi:type="dcterms:W3CDTF">2019-12-09T06:29:00Z</dcterms:modified>
</cp:coreProperties>
</file>