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3E" w:rsidRPr="00370F13" w:rsidRDefault="0036283E" w:rsidP="0036283E">
      <w:pPr>
        <w:spacing w:after="0" w:line="288" w:lineRule="auto"/>
        <w:ind w:firstLine="0"/>
        <w:jc w:val="both"/>
        <w:rPr>
          <w:rFonts w:ascii="Calibri" w:eastAsia="B Nazanin" w:hAnsi="B Nazanin" w:cs="B Lotus"/>
          <w:bCs/>
          <w:sz w:val="28"/>
          <w:szCs w:val="28"/>
          <w:rtl/>
          <w:lang w:bidi="fa-IR"/>
        </w:rPr>
      </w:pPr>
      <w:bookmarkStart w:id="0" w:name="_GoBack"/>
      <w:bookmarkEnd w:id="0"/>
      <w:r w:rsidRPr="00370F13">
        <w:rPr>
          <w:rFonts w:ascii="Calibri" w:eastAsia="B Nazanin" w:hAnsi="B Nazanin" w:cs="B Lotus" w:hint="cs"/>
          <w:bCs/>
          <w:sz w:val="28"/>
          <w:szCs w:val="28"/>
          <w:highlight w:val="green"/>
          <w:rtl/>
          <w:lang w:bidi="fa-IR"/>
        </w:rPr>
        <w:t>منابع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قرآن کریم.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طباطبایی، محمدحسین؛ المیزان فی تفسیر القرآن؛ قم، دفتر انتشارات جامعه مدرسین حوزه علمیه قم، ۱۳۷۴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سید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رض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نهج‌البلاغه؛ ترجمه‌ی محمد دشتی؛ چاپ شانزدهم، قـم، مـؤسسه فـرهنگی تحقیقاتی امیرالمؤمنین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(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ع)، ۱۳۸۲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راغب اصفهانی، حسین‌بن‌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محمد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 مفردات فی غریب القران؛ تحقیق صفوان عدنان داودی؛ دمشق، دارالعلم، ۱۴۱۲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ق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ابن‌بابو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ه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، محمد‌بن‌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عل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من لايحضره الفقيه؛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ج 6، ترجمه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softHyphen/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ی محمدجواد غفاری </w:t>
      </w:r>
      <w:r w:rsidRPr="00370F13">
        <w:rPr>
          <w:rFonts w:ascii="Calibri" w:eastAsia="B Nazanin" w:hAnsi="B Nazanin" w:cs="B Lotus" w:hint="cs"/>
          <w:sz w:val="28"/>
          <w:szCs w:val="28"/>
          <w:highlight w:val="green"/>
          <w:rtl/>
          <w:lang w:bidi="fa-IR"/>
        </w:rPr>
        <w:t>و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فخرالدین بلاغی؛ تهران، صدوق، ۱۳۶۹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اسحاقی، سید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حس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ن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سلوک علوی؛ قم، بوستان کتاب، ۱۳۸۱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اسماعیلی ایولی،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عل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«روش‌های تربیتی در سیره‌ی امام سجاد»؛ معرفت، شماره 141، ۱۳۸۸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اشتهاردی، محمدمهدی؛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آموزه‌های اخلاقی و رفتاری امامان شیعه؛ قم، بوستان کتاب، ۱۳۸۲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احمد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فر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، مصطفی‌ و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دادمحمد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امیری؛ «روش‌های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اصلاحی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در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تربیت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اخلاقی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قرآن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کریم»؛ آموزه‌های قرآنی دانشگاه علوم اسلامی رضوی، شماره ۲۶، ۱۳۹۶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اکبری،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محمود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امربه‌معروف روش صالحان؛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قم، فتیان، ۱۳۹۰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،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باقری،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خسرو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نگاهی دوباره به تربیت اسلامی؛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ج 1، تهران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،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 مدرسه، ۱۳۹۲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باقی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softHyphen/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زاده، رضا و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قاسم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 احمدی؛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«نقش تغافل در تربیت اسلامی با محوریت سیره‌ی نبوی و علوی»؛ پژوهش‌های اخلاقی، شماره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softHyphen/>
        <w:t xml:space="preserve"> ۱، سال هشتم، ۱۳۹۶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بهرام طجری،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عل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چشم‌اندازی بر جایگاه و نقش تغافل در فرآیند تربیت با نگرشی اسلامی؛ پایان‌نامه کارشناسی ارشد، قم، موسسه آموزشی پژوهشی امام خمینی، ۱۳۸۸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بستانی، فؤاد افرام و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رضا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مهیار؛ فرهنگ ابجدی عربی-فارسی؛</w:t>
      </w:r>
      <w:r w:rsidRPr="00370F13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چاپ دوم، تهران، اسلامی، ۱۳۷۵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پاینده،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ابوالقاسم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نهج الفصاحه؛ تهران، دنیای دانش، ۱۳۸۲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lastRenderedPageBreak/>
        <w:t xml:space="preserve">جلالی،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حس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ن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«درآمدی بر بحث </w:t>
      </w:r>
      <w:r w:rsidRPr="00370F13">
        <w:rPr>
          <w:rFonts w:ascii="Calibri" w:eastAsia="B Nazanin" w:hAnsi="B Nazanin" w:cs="Times New Roman" w:hint="cs"/>
          <w:sz w:val="28"/>
          <w:szCs w:val="28"/>
          <w:rtl/>
          <w:lang w:bidi="fa-IR"/>
        </w:rPr>
        <w:t>"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بینش</w:t>
      </w:r>
      <w:r w:rsidRPr="00370F13">
        <w:rPr>
          <w:rFonts w:ascii="Calibri" w:eastAsia="B Nazanin" w:hAnsi="B Nazanin" w:cs="Times New Roman" w:hint="cs"/>
          <w:sz w:val="28"/>
          <w:szCs w:val="28"/>
          <w:rtl/>
          <w:lang w:bidi="fa-IR"/>
        </w:rPr>
        <w:t>"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، </w:t>
      </w:r>
      <w:r w:rsidRPr="00370F13">
        <w:rPr>
          <w:rFonts w:ascii="Calibri" w:eastAsia="B Nazanin" w:hAnsi="B Nazanin" w:cs="Times New Roman" w:hint="cs"/>
          <w:sz w:val="28"/>
          <w:szCs w:val="28"/>
          <w:rtl/>
          <w:lang w:bidi="fa-IR"/>
        </w:rPr>
        <w:t>"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گرایش</w:t>
      </w:r>
      <w:r w:rsidRPr="00370F13">
        <w:rPr>
          <w:rFonts w:ascii="Calibri" w:eastAsia="B Nazanin" w:hAnsi="B Nazanin" w:cs="Times New Roman" w:hint="cs"/>
          <w:sz w:val="28"/>
          <w:szCs w:val="28"/>
          <w:rtl/>
          <w:lang w:bidi="fa-IR"/>
        </w:rPr>
        <w:t>"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، </w:t>
      </w:r>
      <w:r w:rsidRPr="00370F13">
        <w:rPr>
          <w:rFonts w:ascii="Calibri" w:eastAsia="B Nazanin" w:hAnsi="B Nazanin" w:cs="Times New Roman" w:hint="cs"/>
          <w:sz w:val="28"/>
          <w:szCs w:val="28"/>
          <w:rtl/>
          <w:lang w:bidi="fa-IR"/>
        </w:rPr>
        <w:t>"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کنش</w:t>
      </w:r>
      <w:r w:rsidRPr="00370F13">
        <w:rPr>
          <w:rFonts w:ascii="Calibri" w:eastAsia="B Nazanin" w:hAnsi="B Nazanin" w:cs="Times New Roman" w:hint="cs"/>
          <w:sz w:val="28"/>
          <w:szCs w:val="28"/>
          <w:rtl/>
          <w:lang w:bidi="fa-IR"/>
        </w:rPr>
        <w:t>"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 و آثار متقابل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آن‌ها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»؛ معرفت، شماره 50، ۱۳۸۰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حسینی، سیده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زهرا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؛ «نهادینه‌سازی ارزش‌های دینی با روش تغافل با تأکید بر نهج‌البلاغه»؛ مدرسه علمیه خواهران حضرت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عبدالعظ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م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(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ع)، قابل‌دسترسی در: </w:t>
      </w:r>
      <w:hyperlink r:id="rId5" w:history="1">
        <w:r w:rsidRPr="00370F13">
          <w:rPr>
            <w:rFonts w:ascii="Calibri" w:eastAsia="B Nazanin" w:hAnsi="B Nazanin" w:cs="B Lotus"/>
            <w:sz w:val="28"/>
            <w:szCs w:val="28"/>
            <w:lang w:bidi="fa-IR"/>
          </w:rPr>
          <w:t>http://hossna.ir</w:t>
        </w:r>
      </w:hyperlink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، بی‌تا.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خرمشاهی، بهاءالدین و مسعود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انصار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پیام پیامبر؛ تهران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،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 منفرد، ۱۳۷۶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دفتر همکاری حـوزه و دانـشگاه؛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درآمـدی بر تعلیم و تربیت اسلامی؛ جلد 2، چاپ چهارم، تهران،</w:t>
      </w:r>
      <w:r w:rsidRPr="00370F13">
        <w:rPr>
          <w:rFonts w:ascii="gisoom" w:eastAsia="B Nazanin" w:hAnsi="B Nazanin" w:cs="B Lotus" w:hint="cs"/>
          <w:spacing w:val="-5"/>
          <w:sz w:val="28"/>
          <w:szCs w:val="28"/>
          <w:rtl/>
          <w:lang w:bidi="fa-IR"/>
        </w:rPr>
        <w:t xml:space="preserve"> سازمان مطالعه و تدوین کتب علوم انسانی دانشگاه‌ها (سمت‌)،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۱۳۷۷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gisoom" w:eastAsia="B Nazanin" w:hAnsi="B Nazanin" w:cs="B Lotus" w:hint="cs"/>
          <w:spacing w:val="-5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ــــــــــــــــــــــــــــــــ؛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آرای دانشمندان مسلمان در تعلیم و تربیت و مبانی آن؛ جلد 1،2 و 3، تهران، زیتون، ۱۳۸۱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دلاور،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عل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مبانی نظري و عملی پژوهش در علوم انسانی و اجتماعی؛ چاپ سوم، تهران، رشد، ۱۳۸۴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دلشاد تهرانی،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مصطف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ی؛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ماه مهرپرور؛ تـهران، خانه اندیشه جوان، ۱۳۷۹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رشیدپور،</w:t>
      </w:r>
      <w:r w:rsidRPr="00370F13">
        <w:rPr>
          <w:rFonts w:ascii="ArialMT" w:eastAsia="B Nazanin" w:hAnsi="B Nazanin" w:cs="B Lotus"/>
          <w:sz w:val="28"/>
          <w:szCs w:val="28"/>
          <w:lang w:bidi="fa-IR"/>
        </w:rPr>
        <w:t xml:space="preserve"> </w:t>
      </w:r>
      <w:r w:rsidRPr="00370F13">
        <w:rPr>
          <w:rFonts w:ascii="ArialMT" w:eastAsia="B Nazanin" w:hAnsi="B Nazanin" w:cs="B Lotus"/>
          <w:sz w:val="28"/>
          <w:szCs w:val="28"/>
          <w:rtl/>
          <w:lang w:bidi="fa-IR"/>
        </w:rPr>
        <w:t>مج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ArialMT" w:eastAsia="B Nazanin" w:hAnsi="B Nazanin" w:cs="B Lotus" w:hint="eastAsia"/>
          <w:sz w:val="28"/>
          <w:szCs w:val="28"/>
          <w:rtl/>
          <w:lang w:bidi="fa-IR"/>
        </w:rPr>
        <w:t>د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ArialMT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پرورش‌های</w:t>
      </w:r>
      <w:r w:rsidRPr="00370F13">
        <w:rPr>
          <w:rFonts w:ascii="ArialMT" w:eastAsia="B Nazanin" w:hAnsi="B Nazanin" w:cs="B Lotus"/>
          <w:sz w:val="28"/>
          <w:szCs w:val="28"/>
          <w:lang w:bidi="fa-IR"/>
        </w:rPr>
        <w:t xml:space="preserve"> 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اخلاقی</w:t>
      </w:r>
      <w:r w:rsidRPr="00370F13">
        <w:rPr>
          <w:rFonts w:ascii="ArialMT" w:eastAsia="B Nazanin" w:hAnsi="B Nazanin" w:cs="B Lotus"/>
          <w:sz w:val="28"/>
          <w:szCs w:val="28"/>
          <w:lang w:bidi="fa-IR"/>
        </w:rPr>
        <w:t xml:space="preserve"> 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و</w:t>
      </w:r>
      <w:r w:rsidRPr="00370F13">
        <w:rPr>
          <w:rFonts w:ascii="ArialMT" w:eastAsia="B Nazanin" w:hAnsi="B Nazanin" w:cs="B Lotus"/>
          <w:sz w:val="28"/>
          <w:szCs w:val="28"/>
          <w:lang w:bidi="fa-IR"/>
        </w:rPr>
        <w:t xml:space="preserve"> 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روش‌های</w:t>
      </w:r>
      <w:r w:rsidRPr="00370F13">
        <w:rPr>
          <w:rFonts w:ascii="ArialMT" w:eastAsia="B Nazanin" w:hAnsi="B Nazanin" w:cs="B Lotus"/>
          <w:sz w:val="28"/>
          <w:szCs w:val="28"/>
          <w:lang w:bidi="fa-IR"/>
        </w:rPr>
        <w:t xml:space="preserve"> 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تربیتی؛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چاپ هفتم، 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تهران‌، انجمن اولیا و مربیان جمهوری اسلامی ایران‌، ۱۳۸۶</w:t>
      </w:r>
      <w:r w:rsidRPr="00370F13">
        <w:rPr>
          <w:rFonts w:ascii="ArialMT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ArialMT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سانتراک،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جان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زمینه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روانشناسی؛ ترجمه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softHyphen/>
        <w:t>ی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مهرداد فیروزبخت؛ تهران، رسا، ۱۳۸۳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شریفی، حسن پاسا و نسترن شریفی؛ روش‌های تحقیق در علوم رفتاري؛ چاپ چهارم، تهران، سخن، ۱۳۸۳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ahoma" w:eastAsia="B Nazanin" w:hAnsi="B Nazanin" w:cs="B Lotus"/>
          <w:sz w:val="28"/>
          <w:szCs w:val="28"/>
          <w:lang w:bidi="fa-IR"/>
        </w:rPr>
      </w:pP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 xml:space="preserve">طريحى، 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>فخرالدين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؛ مجمع البحرين‌؛ تحقيق و ترجمه سید احمد حسينى؛ چاپ سوم، تهران، مرتضوى، 1375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ahoma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Calibri" w:hAnsi="Times New Roman" w:cs="B Lotus" w:hint="cs"/>
          <w:sz w:val="28"/>
          <w:szCs w:val="28"/>
          <w:shd w:val="clear" w:color="auto" w:fill="FFFFFF"/>
          <w:rtl/>
          <w:lang w:bidi="fa-IR"/>
        </w:rPr>
        <w:t>عبدوس، محمدتقي و</w:t>
      </w:r>
      <w:r w:rsidRPr="00370F13">
        <w:rPr>
          <w:rFonts w:ascii="Times New Roman" w:eastAsia="Calibri" w:hAnsi="Times New Roman" w:cs="B Lotus"/>
          <w:sz w:val="28"/>
          <w:szCs w:val="28"/>
          <w:shd w:val="clear" w:color="auto" w:fill="FFFFFF"/>
          <w:rtl/>
          <w:lang w:bidi="fa-IR"/>
        </w:rPr>
        <w:t xml:space="preserve"> محمدمهدي</w:t>
      </w:r>
      <w:r w:rsidRPr="00370F13">
        <w:rPr>
          <w:rFonts w:ascii="Times New Roman" w:eastAsia="Calibri" w:hAnsi="Times New Roman" w:cs="B Lotus" w:hint="cs"/>
          <w:sz w:val="28"/>
          <w:szCs w:val="28"/>
          <w:shd w:val="clear" w:color="auto" w:fill="FFFFFF"/>
          <w:rtl/>
          <w:lang w:bidi="fa-IR"/>
        </w:rPr>
        <w:t xml:space="preserve"> اشتهاردي؛ بیست‌وپنج اصل از اصول اخلاقي امامان؛ چاپ ششم، قم، دفتر تبليغات اسلا</w:t>
      </w:r>
      <w:r w:rsidRPr="00370F13">
        <w:rPr>
          <w:rFonts w:ascii="Times New Roman" w:eastAsia="B Nazanin" w:hAnsi="Times New Roman" w:cs="B Lotus" w:hint="cs"/>
          <w:sz w:val="28"/>
          <w:szCs w:val="28"/>
          <w:rtl/>
          <w:lang w:bidi="fa-IR"/>
        </w:rPr>
        <w:t xml:space="preserve">م، </w:t>
      </w:r>
      <w:r w:rsidRPr="00370F13">
        <w:rPr>
          <w:rFonts w:ascii="Times New Roman" w:eastAsia="Calibri" w:hAnsi="Times New Roman" w:cs="B Lotus" w:hint="cs"/>
          <w:sz w:val="28"/>
          <w:szCs w:val="28"/>
          <w:shd w:val="clear" w:color="auto" w:fill="FFFFFF"/>
          <w:rtl/>
          <w:lang w:bidi="fa-IR"/>
        </w:rPr>
        <w:t>۱۳۷۵</w:t>
      </w:r>
      <w:r w:rsidRPr="00370F13">
        <w:rPr>
          <w:rFonts w:ascii="Times New Roman" w:eastAsia="Calibri" w:hAnsi="Times New Roman" w:cs="B Lotus"/>
          <w:sz w:val="28"/>
          <w:szCs w:val="28"/>
          <w:shd w:val="clear" w:color="auto" w:fill="FFFFFF"/>
          <w:rtl/>
          <w:lang w:bidi="fa-IR"/>
        </w:rPr>
        <w:t xml:space="preserve"> ش</w:t>
      </w:r>
      <w:r w:rsidRPr="00370F13">
        <w:rPr>
          <w:rFonts w:ascii="Times New Roman" w:eastAsia="Calibri" w:hAnsi="Times New Roman" w:cs="B Lotus" w:hint="cs"/>
          <w:sz w:val="28"/>
          <w:szCs w:val="28"/>
          <w:shd w:val="clear" w:color="auto" w:fill="FFFFFF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ahoma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 xml:space="preserve">عضیمه، 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>صالح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؛ معناشناسی واژگان قرآن؛ ترجمه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softHyphen/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ی سید حسین سیدی و حمیدرضا نگهبان؛ مشهد، به نشر، ۱۳۸۸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lastRenderedPageBreak/>
        <w:t xml:space="preserve">فلاح‌پور،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زهرا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؛ «روش‌های تربیتی امام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سجاد (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ع)»؛ نامه جامعه، شماره 25 و 26، ۱۳۸۵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فدایی،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مهد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ی؛ </w:t>
      </w:r>
      <w:r w:rsidRPr="00370F13">
        <w:rPr>
          <w:rFonts w:cs="B Lotus" w:hint="cs"/>
          <w:sz w:val="28"/>
          <w:szCs w:val="28"/>
          <w:rtl/>
          <w:lang w:bidi="fa-IR"/>
        </w:rPr>
        <w:t>«</w:t>
      </w:r>
      <w:hyperlink r:id="rId6" w:history="1"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تعارض اخلاقی در</w:t>
        </w:r>
        <w:r w:rsidRPr="00370F13">
          <w:rPr>
            <w:rFonts w:ascii="Calibri" w:eastAsia="B Nazanin" w:hAnsi="Calibri" w:cs="B Lotus"/>
            <w:sz w:val="28"/>
            <w:szCs w:val="28"/>
            <w:lang w:bidi="fa-IR"/>
          </w:rPr>
          <w:t> </w:t>
        </w:r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تغافل</w:t>
        </w:r>
        <w:r w:rsidRPr="00370F13">
          <w:rPr>
            <w:rFonts w:ascii="Calibri" w:eastAsia="B Nazanin" w:hAnsi="Calibri" w:cs="B Lotus"/>
            <w:sz w:val="28"/>
            <w:szCs w:val="28"/>
            <w:lang w:bidi="fa-IR"/>
          </w:rPr>
          <w:t> </w:t>
        </w:r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از انحراف اخلاقی همسر در مواجهه با وظیفه</w:t>
        </w:r>
        <w:r w:rsidRPr="00370F13">
          <w:rPr>
            <w:rFonts w:ascii="Calibri" w:eastAsia="B Nazanin" w:hAnsi="B Nazanin" w:cs="B Lotus"/>
            <w:sz w:val="28"/>
            <w:szCs w:val="28"/>
            <w:rtl/>
            <w:lang w:bidi="fa-IR"/>
          </w:rPr>
          <w:softHyphen/>
        </w:r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ی تربیت اخلاقی فرزندان</w:t>
        </w:r>
      </w:hyperlink>
      <w:r w:rsidRPr="00370F13">
        <w:rPr>
          <w:rFonts w:cs="B Lotus" w:hint="cs"/>
          <w:sz w:val="28"/>
          <w:szCs w:val="28"/>
          <w:rtl/>
          <w:lang w:bidi="fa-IR"/>
        </w:rPr>
        <w:t>»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 اخلاق، شماره 11، ۱۳۹۲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فولادی،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محمد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؛ </w:t>
      </w:r>
      <w:r w:rsidRPr="00370F13">
        <w:rPr>
          <w:rFonts w:ascii="Calibri" w:eastAsia="B Nazanin" w:hAnsi="B Nazanin" w:cs="B Lotus" w:hint="cs"/>
          <w:sz w:val="28"/>
          <w:szCs w:val="28"/>
          <w:shd w:val="clear" w:color="auto" w:fill="FFFFFF"/>
          <w:rtl/>
          <w:lang w:bidi="fa-IR"/>
        </w:rPr>
        <w:t xml:space="preserve">«تساهل و تسامح از منظر دين»؛ معرفت، شماره 35،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۱۳۷۹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 xml:space="preserve">فلسفی، 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>محمدتق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 xml:space="preserve">ی؛ گفتار 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>فلسف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 xml:space="preserve"> (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اخلاق ازنظر همزیستی و ارزش‌های انسانی)؛ تهران، معارف اسلامی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، 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۱۳۶۳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ـــــــــــــــ؛ گفتار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فـلسف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(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کـودک از نظر وراثت و تربیت)؛ چاپ دوازدهم، تهران، هـیئت نشر مـعارف اسـلامی، ۱۳۶۲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کلینی،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محمد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‌بن‌ی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عقوب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 الکافی؛ مصحح اکبر غفاری؛ چاپ چهارم، تهران، دارالکتاب اسلامیه، ۱۳۶۵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 xml:space="preserve">کمالی، سید 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>عل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ی؛ همزیستی و معاشرت در اسلام؛ قم، اسوه، ۱۳۷۶</w:t>
      </w:r>
      <w:r w:rsidRPr="00370F13">
        <w:rPr>
          <w:rFonts w:ascii="Tahoma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ahoma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مکارم شیرازی،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ناصر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؛ اخلاق در قرآن؛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ج 1 و 2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، چاپ دوم،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قم، مدرسة الامام علی‌بن‌ابی‌طالب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(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ع)، ۱۳۷۷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محصص،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مرض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Calibri" w:eastAsia="B Nazanin" w:hAnsi="B Nazanin" w:cs="B Lotus" w:hint="eastAsia"/>
          <w:sz w:val="28"/>
          <w:szCs w:val="28"/>
          <w:rtl/>
          <w:lang w:bidi="fa-IR"/>
        </w:rPr>
        <w:t>ه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؛ </w:t>
      </w:r>
      <w:r w:rsidRPr="00370F13">
        <w:rPr>
          <w:rFonts w:cs="B Lotus" w:hint="cs"/>
          <w:sz w:val="28"/>
          <w:szCs w:val="28"/>
          <w:rtl/>
          <w:lang w:bidi="fa-IR"/>
        </w:rPr>
        <w:t>«</w:t>
      </w:r>
      <w:hyperlink r:id="rId7" w:history="1"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سازگاری همسران به شیوه</w:t>
        </w:r>
        <w:r w:rsidRPr="00370F13">
          <w:rPr>
            <w:rFonts w:ascii="Calibri" w:eastAsia="B Nazanin" w:hAnsi="B Nazanin" w:cs="B Lotus"/>
            <w:sz w:val="28"/>
            <w:szCs w:val="28"/>
            <w:rtl/>
            <w:lang w:bidi="fa-IR"/>
          </w:rPr>
          <w:softHyphen/>
        </w:r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ی</w:t>
        </w:r>
        <w:r w:rsidRPr="00370F13">
          <w:rPr>
            <w:rFonts w:ascii="Calibri" w:eastAsia="B Nazanin" w:hAnsi="Calibri" w:cs="B Lotus"/>
            <w:sz w:val="28"/>
            <w:szCs w:val="28"/>
            <w:lang w:bidi="fa-IR"/>
          </w:rPr>
          <w:t> </w:t>
        </w:r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تغافل</w:t>
        </w:r>
        <w:r w:rsidRPr="00370F13">
          <w:rPr>
            <w:rFonts w:ascii="Calibri" w:eastAsia="B Nazanin" w:hAnsi="Calibri" w:cs="B Lotus"/>
            <w:sz w:val="28"/>
            <w:szCs w:val="28"/>
            <w:lang w:bidi="fa-IR"/>
          </w:rPr>
          <w:t> </w:t>
        </w:r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با تأکید بر آموزه‌های دینی</w:t>
        </w:r>
      </w:hyperlink>
      <w:r w:rsidRPr="00370F13">
        <w:rPr>
          <w:rFonts w:cs="B Lotus" w:hint="cs"/>
          <w:sz w:val="28"/>
          <w:szCs w:val="28"/>
          <w:rtl/>
          <w:lang w:bidi="fa-IR"/>
        </w:rPr>
        <w:t>»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 معرفت اخلاقی،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شماره 14، ۱۳۹۲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محمدی ری‌شهری،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محمد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؛ میزان الحکمه؛ ترجمه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softHyphen/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ی حمیدرضا شیخی؛ چاپ هفتم، </w:t>
      </w:r>
      <w:r w:rsidRPr="00370F13">
        <w:rPr>
          <w:rFonts w:ascii="gisoom" w:eastAsia="B Nazanin" w:hAnsi="B Nazanin" w:cs="B Lotus" w:hint="cs"/>
          <w:spacing w:val="-5"/>
          <w:sz w:val="28"/>
          <w:szCs w:val="28"/>
          <w:rtl/>
          <w:lang w:bidi="fa-IR"/>
        </w:rPr>
        <w:t xml:space="preserve">قم، موسسه علمی فرهنگی دارالحدیث، سازمان چاپ و نشر،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۱۳۸۶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ـــــــــــــــــــــــــ؛</w:t>
      </w:r>
      <w:r w:rsidRPr="00370F13">
        <w:rPr>
          <w:rFonts w:ascii="Calibri" w:eastAsia="B Nazanin" w:hAnsi="B Nazanin" w:cs="B Lotus"/>
          <w:sz w:val="28"/>
          <w:szCs w:val="28"/>
          <w:lang w:bidi="fa-IR"/>
        </w:rPr>
        <w:t xml:space="preserve"> </w:t>
      </w:r>
      <w:r w:rsidRPr="00370F13">
        <w:rPr>
          <w:rFonts w:cs="B Lotus" w:hint="cs"/>
          <w:sz w:val="28"/>
          <w:szCs w:val="28"/>
          <w:rtl/>
          <w:lang w:bidi="fa-IR"/>
        </w:rPr>
        <w:t>«</w:t>
      </w:r>
      <w:hyperlink r:id="rId8" w:history="1"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تغافل</w:t>
        </w:r>
      </w:hyperlink>
      <w:r w:rsidRPr="00370F13">
        <w:rPr>
          <w:rFonts w:cs="B Lotus" w:hint="cs"/>
          <w:sz w:val="28"/>
          <w:szCs w:val="28"/>
          <w:rtl/>
          <w:lang w:bidi="fa-IR"/>
        </w:rPr>
        <w:t>»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؛ </w:t>
      </w:r>
      <w:hyperlink r:id="rId9" w:history="1">
        <w:r w:rsidRPr="00370F13">
          <w:rPr>
            <w:rFonts w:ascii="Calibri" w:eastAsia="B Nazanin" w:hAnsi="B Nazanin" w:cs="B Lotus" w:hint="cs"/>
            <w:sz w:val="28"/>
            <w:szCs w:val="28"/>
            <w:rtl/>
            <w:lang w:bidi="fa-IR"/>
          </w:rPr>
          <w:t>پاسدار اسلام، شماره ۸۷</w:t>
        </w:r>
      </w:hyperlink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، 1367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Calibri Light" w:eastAsia="B Nazanin" w:hAnsi="B Nazanin" w:cs="B Lotus"/>
          <w:sz w:val="28"/>
          <w:szCs w:val="28"/>
          <w:lang w:bidi="fa-IR"/>
        </w:rPr>
      </w:pPr>
      <w:hyperlink r:id="rId10" w:history="1">
        <w:r w:rsidRPr="00370F13">
          <w:rPr>
            <w:rFonts w:ascii="Calibri Light" w:eastAsia="B Nazanin" w:hAnsi="B Nazanin" w:cs="B Lotus" w:hint="cs"/>
            <w:sz w:val="28"/>
            <w:szCs w:val="28"/>
            <w:rtl/>
            <w:lang w:bidi="fa-IR"/>
          </w:rPr>
          <w:t xml:space="preserve">محمدی، </w:t>
        </w:r>
        <w:r w:rsidRPr="00370F13">
          <w:rPr>
            <w:rFonts w:ascii="Calibri Light" w:eastAsia="B Nazanin" w:hAnsi="B Nazanin" w:cs="B Lotus"/>
            <w:sz w:val="28"/>
            <w:szCs w:val="28"/>
            <w:rtl/>
            <w:lang w:bidi="fa-IR"/>
          </w:rPr>
          <w:t>محمدرضا</w:t>
        </w:r>
        <w:r w:rsidRPr="00370F13">
          <w:rPr>
            <w:rFonts w:ascii="Calibri Light" w:eastAsia="B Nazanin" w:hAnsi="B Nazanin" w:cs="B Lotus" w:hint="cs"/>
            <w:sz w:val="28"/>
            <w:szCs w:val="28"/>
            <w:rtl/>
            <w:lang w:bidi="fa-IR"/>
          </w:rPr>
          <w:t xml:space="preserve">؛ </w:t>
        </w:r>
        <w:r w:rsidRPr="00370F13">
          <w:rPr>
            <w:rFonts w:ascii="inherit" w:eastAsia="B Nazanin" w:hAnsi="B Nazanin" w:cs="B Lotus" w:hint="cs"/>
            <w:sz w:val="28"/>
            <w:szCs w:val="28"/>
            <w:rtl/>
            <w:lang w:bidi="fa-IR"/>
          </w:rPr>
          <w:t>«جنبه های مهم شخصیت نوجوان</w:t>
        </w:r>
      </w:hyperlink>
      <w:r w:rsidRPr="00370F13">
        <w:rPr>
          <w:rFonts w:hint="cs"/>
          <w:rtl/>
          <w:lang w:bidi="fa-IR"/>
        </w:rPr>
        <w:t>»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؛</w:t>
      </w:r>
      <w:r w:rsidRPr="00370F13">
        <w:rPr>
          <w:rFonts w:ascii="Calibri Light" w:eastAsia="B Nazanin" w:hAnsi="B Nazanin" w:cs="B Lotus" w:hint="cs"/>
          <w:sz w:val="28"/>
          <w:szCs w:val="28"/>
          <w:rtl/>
          <w:lang w:bidi="fa-IR"/>
        </w:rPr>
        <w:t xml:space="preserve"> معرفت، شماره 38، ۱۳۸۹</w:t>
      </w:r>
      <w:r w:rsidRPr="00370F13">
        <w:rPr>
          <w:rFonts w:ascii="Calibri Light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 Light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rtl/>
          <w:lang w:bidi="fa-IR"/>
        </w:rPr>
      </w:pPr>
      <w:r w:rsidRPr="00370F13">
        <w:rPr>
          <w:rFonts w:ascii="Tahoma" w:eastAsia="B Nazanin" w:hAnsi="B Nazanin" w:cs="B Lotus" w:hint="cs"/>
          <w:sz w:val="28"/>
          <w:szCs w:val="28"/>
          <w:shd w:val="clear" w:color="auto" w:fill="FFFFFF"/>
          <w:rtl/>
          <w:lang w:bidi="fa-IR"/>
        </w:rPr>
        <w:t xml:space="preserve">مصطفوی، </w:t>
      </w:r>
      <w:r w:rsidRPr="00370F13">
        <w:rPr>
          <w:rFonts w:ascii="Tahoma" w:eastAsia="B Nazanin" w:hAnsi="B Nazanin" w:cs="B Lotus"/>
          <w:sz w:val="28"/>
          <w:szCs w:val="28"/>
          <w:shd w:val="clear" w:color="auto" w:fill="FFFFFF"/>
          <w:rtl/>
          <w:lang w:bidi="fa-IR"/>
        </w:rPr>
        <w:t>حسن</w:t>
      </w:r>
      <w:r w:rsidRPr="00370F13">
        <w:rPr>
          <w:rFonts w:ascii="Tahoma" w:eastAsia="B Nazanin" w:hAnsi="B Nazanin" w:cs="B Lotus" w:hint="cs"/>
          <w:sz w:val="28"/>
          <w:szCs w:val="28"/>
          <w:shd w:val="clear" w:color="auto" w:fill="FFFFFF"/>
          <w:rtl/>
          <w:lang w:bidi="fa-IR"/>
        </w:rPr>
        <w:t>؛ التحقیق فی کلمات القرآن الکریم؛ تهران، بنگاه ترجمه و نشر کتاب، ۱۳۶۰</w:t>
      </w:r>
      <w:r w:rsidRPr="00370F13">
        <w:rPr>
          <w:rFonts w:ascii="Tahoma" w:eastAsia="B Nazanin" w:hAnsi="B Nazanin" w:cs="B Lotus"/>
          <w:sz w:val="28"/>
          <w:szCs w:val="28"/>
          <w:shd w:val="clear" w:color="auto" w:fill="FFFFFF"/>
          <w:rtl/>
          <w:lang w:bidi="fa-IR"/>
        </w:rPr>
        <w:t xml:space="preserve"> ش</w:t>
      </w:r>
      <w:r w:rsidRPr="00370F13">
        <w:rPr>
          <w:rFonts w:ascii="Tahoma" w:eastAsia="B Nazanin" w:hAnsi="B Nazanin" w:cs="B Lotus" w:hint="cs"/>
          <w:sz w:val="28"/>
          <w:szCs w:val="28"/>
          <w:shd w:val="clear" w:color="auto" w:fill="FFFFFF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B Nazanin" w:hAnsi="B Nazanin" w:cs="B Lotus"/>
          <w:sz w:val="28"/>
          <w:szCs w:val="28"/>
          <w:lang w:bidi="fa-IR"/>
        </w:rPr>
      </w:pP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 xml:space="preserve">معین، 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>محمد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؛ فرهنگ معین؛ چاپ سوم، تهران، زرین، ۱۳۸۶</w:t>
      </w:r>
      <w:r w:rsidRPr="00370F13">
        <w:rPr>
          <w:rFonts w:ascii="Times New Roman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Times New Roman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jc w:val="both"/>
        <w:rPr>
          <w:rFonts w:ascii="Calibri" w:eastAsia="B Nazanin" w:hAnsi="B Nazanin" w:cs="B Lotus"/>
          <w:sz w:val="28"/>
          <w:szCs w:val="28"/>
          <w:lang w:bidi="fa-IR"/>
        </w:rPr>
      </w:pP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نجفی،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محمد؛ قربانی،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منصوره؛ نصرتی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هشی،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کمال؛ شاهی،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محمد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 xml:space="preserve">؛ «روش‌های تربیتی اخلاقی در سیره‌ی 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>رضو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ی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(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ع)»؛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پژوهش‌های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اخلاقی،</w:t>
      </w:r>
      <w:r w:rsidRPr="00370F13">
        <w:rPr>
          <w:rFonts w:ascii="Calibri" w:eastAsia="B Nazanin" w:hAnsi="B Nazanin" w:cs="B Lotus" w:hint="cs"/>
          <w:sz w:val="28"/>
          <w:szCs w:val="28"/>
          <w:lang w:bidi="fa-IR"/>
        </w:rPr>
        <w:t xml:space="preserve"> 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شماره 1، ۱۳۹۳</w:t>
      </w:r>
      <w:r w:rsidRPr="00370F13">
        <w:rPr>
          <w:rFonts w:ascii="Calibri" w:eastAsia="B Nazanin" w:hAnsi="B Nazanin" w:cs="B Lotus"/>
          <w:sz w:val="28"/>
          <w:szCs w:val="28"/>
          <w:rtl/>
          <w:lang w:bidi="fa-IR"/>
        </w:rPr>
        <w:t xml:space="preserve"> ش</w:t>
      </w:r>
      <w:r w:rsidRPr="00370F13">
        <w:rPr>
          <w:rFonts w:ascii="Calibri" w:eastAsia="B Nazanin" w:hAnsi="B Nazani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Times New Roman" w:hAnsi="Times New Roman" w:cs="B Lotus"/>
          <w:sz w:val="28"/>
          <w:szCs w:val="28"/>
          <w:rtl/>
          <w:lang w:bidi="fa-IR"/>
        </w:rPr>
      </w:pPr>
      <w:r w:rsidRPr="00370F13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lastRenderedPageBreak/>
        <w:t>واسطی زبیدی، محب</w:t>
      </w:r>
      <w:r w:rsidRPr="00370F13">
        <w:rPr>
          <w:rFonts w:ascii="Times New Roman" w:eastAsia="Times New Roman" w:hAnsi="Times New Roman" w:cs="B Lotus"/>
          <w:sz w:val="28"/>
          <w:szCs w:val="28"/>
          <w:rtl/>
          <w:lang w:bidi="fa-IR"/>
        </w:rPr>
        <w:softHyphen/>
      </w:r>
      <w:r w:rsidRPr="00370F13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الدین سید محمد</w:t>
      </w:r>
      <w:r w:rsidRPr="00370F13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>مرتض</w:t>
      </w:r>
      <w:r w:rsidRPr="00370F13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ی؛ تاج العروس من جواهر القاموس؛ محقق و مصحح علی شیری؛ بیروت، دار الفکر للطباعة و النشر و التوزیع، ۱۴۱۴</w:t>
      </w:r>
      <w:r w:rsidRPr="00370F13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ق</w:t>
      </w:r>
      <w:r w:rsidRPr="00370F13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.</w:t>
      </w:r>
    </w:p>
    <w:p w:rsidR="0036283E" w:rsidRPr="00370F13" w:rsidRDefault="0036283E" w:rsidP="0036283E">
      <w:pPr>
        <w:spacing w:after="0" w:line="288" w:lineRule="auto"/>
        <w:ind w:firstLine="0"/>
        <w:jc w:val="both"/>
        <w:rPr>
          <w:rFonts w:ascii="Calibri" w:eastAsia="B Nazanin" w:hAnsi="B Nazanin" w:cs="B Lotus"/>
          <w:sz w:val="28"/>
          <w:szCs w:val="28"/>
          <w:lang w:bidi="fa-IR"/>
        </w:rPr>
      </w:pPr>
    </w:p>
    <w:p w:rsidR="0036283E" w:rsidRDefault="0036283E" w:rsidP="0036283E"/>
    <w:p w:rsidR="0086308E" w:rsidRDefault="0086308E"/>
    <w:sectPr w:rsidR="0086308E" w:rsidSect="004D20D1">
      <w:pgSz w:w="11907" w:h="15819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oom">
    <w:charset w:val="00"/>
    <w:family w:val="auto"/>
    <w:pitch w:val="variable"/>
    <w:sig w:usb0="A00002EF" w:usb1="4000207B" w:usb2="00000000" w:usb3="00000000" w:csb0="FFFFFFFF" w:csb1="00000000"/>
  </w:font>
  <w:font w:name="ArialMT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05A2D"/>
    <w:multiLevelType w:val="hybridMultilevel"/>
    <w:tmpl w:val="8242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3E"/>
    <w:rsid w:val="0036283E"/>
    <w:rsid w:val="008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EE4E3-F290-4975-83AA-1CAAA4BD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20" w:lineRule="auto"/>
        <w:ind w:firstLine="72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3E"/>
    <w:pPr>
      <w:spacing w:after="160" w:line="240" w:lineRule="auto"/>
      <w:jc w:val="left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ani.ir/fa/article/275472/%D8%AA%D8%BA%D8%A7%D9%81%D9%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ormags.ir/view/fa/articlepage/1066356/%d8%b3%d8%a7%d8%b2%da%af%d8%a7%d8%b1%db%8c-%d9%87%d9%85%d8%b3%d8%b1%d8%a7%d9%86-%d8%a8%d9%87-%d8%b4%db%8c%d9%88%d9%87-%db%8c-%d8%aa%d8%ba%d8%a7%d9%81%d9%84-%d8%a8%d8%a7-%d8%aa%d8%a3%da%a9%db%8c%d8%af-%d8%a8%d8%b1-%d8%a2%d9%85%d9%88%d8%b2%d9%87-%d9%87%d8%a7%db%8c-%d8%af%db%8c%d9%86%db%8c?q=%D8%AA%D8%BA%D8%A7%D9%81%D9%84&amp;score=23.570839&amp;rownumber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ormags.ir/view/fa/articlepage/1051667/%d8%aa%d8%b9%d8%a7%d8%b1%d8%b6-%d8%a7%d8%ae%d9%84%d8%a7%d9%82%db%8c-%d8%af%d8%b1-%d8%aa%d8%ba%d8%a7%d9%81%d9%84-%d8%a7%d8%b2-%d8%a7%d9%86%d8%ad%d8%b1%d8%a7%d9%81-%d8%a7%d8%ae%d9%84%d8%a7%d9%82%db%8c-%d9%87%d9%85%d8%b3%d8%b1-%d8%af%d8%b1-%d9%85%d9%88%d8%a7%d8%ac%d9%87%d9%87-%d8%a8%d8%a7-%d9%88%d8%b8%db%8c%d9%81%d9%87-%db%8c-%d8%aa%d8%b1%d8%a8%db%8c%d8%aa-%d8%a7%d8%ae%d9%84%d8%a7%d9%82%db%8c-%d9%81%d8%b1%d8%b2%d9%86%d8%af%d8%a7%d9%86?q=%D8%AA%D8%BA%D8%A7%D9%81%D9%84&amp;score=5.9295807&amp;rownumber=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ossna.ir/fa/node/202" TargetMode="External"/><Relationship Id="rId10" Type="http://schemas.openxmlformats.org/officeDocument/2006/relationships/hyperlink" Target="http://www.noormags.ir/view/fa/articlepage/20703/%d8%ac%d9%86%d8%a8%d9%87-%d9%87%d8%a7%db%8c-%d9%85%d9%87%d9%85-%d8%b4%d8%ae%d8%b5%db%8c%d8%aa-%d9%86%d9%88%d8%ac%d9%88%d8%a7%d9%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sani.ir/fa/article/journal-number/31143/%D9%BE%D8%A7%D8%B3%D8%AF%D8%A7%D8%B1-%D8%A7%D8%B3%D9%84%D8%A7%D9%85-%D8%A7%D8%B3%D9%81%D9%86%D8%AF-1367-%D8%B4%D9%85%D8%A7%D8%B1%D9%87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2019-12-09T06:27:00Z</dcterms:created>
  <dcterms:modified xsi:type="dcterms:W3CDTF">2019-12-09T06:27:00Z</dcterms:modified>
</cp:coreProperties>
</file>