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A2DE3" w14:textId="77777777" w:rsidR="00122593" w:rsidRPr="006229C7" w:rsidRDefault="00122593" w:rsidP="00122593">
      <w:pPr>
        <w:spacing w:after="0" w:line="276" w:lineRule="auto"/>
        <w:ind w:firstLine="284"/>
        <w:jc w:val="both"/>
        <w:rPr>
          <w:rFonts w:ascii="Arial" w:eastAsia="Times New Roman" w:hAnsi="Arial" w:cs="B Lotus"/>
          <w:sz w:val="28"/>
          <w:szCs w:val="28"/>
          <w:rtl/>
          <w:lang w:bidi="fa-IR"/>
        </w:rPr>
      </w:pPr>
      <w:r w:rsidRPr="006229C7">
        <w:rPr>
          <w:rFonts w:ascii="Arial" w:eastAsia="Times New Roman" w:hAnsi="Arial" w:cs="B Lotus" w:hint="cs"/>
          <w:b/>
          <w:bCs/>
          <w:sz w:val="28"/>
          <w:szCs w:val="28"/>
          <w:rtl/>
          <w:lang w:bidi="fa-IR"/>
        </w:rPr>
        <w:t>عفت کلامی زبان قرآن در حوزه‌ی مسائل جنسی</w:t>
      </w:r>
    </w:p>
    <w:p w14:paraId="262F14D7" w14:textId="77777777" w:rsidR="00122593" w:rsidRPr="006229C7" w:rsidRDefault="00122593" w:rsidP="00122593">
      <w:pPr>
        <w:spacing w:after="0" w:line="276" w:lineRule="auto"/>
        <w:ind w:firstLine="0"/>
        <w:jc w:val="both"/>
        <w:rPr>
          <w:rFonts w:ascii="Arial" w:eastAsia="Times New Roman" w:hAnsi="Arial" w:cs="B Lotus"/>
          <w:b/>
          <w:bCs/>
          <w:sz w:val="28"/>
          <w:szCs w:val="28"/>
          <w:rtl/>
          <w:lang w:bidi="fa-IR"/>
        </w:rPr>
      </w:pPr>
      <w:r w:rsidRPr="006229C7">
        <w:rPr>
          <w:rFonts w:ascii="Arial" w:eastAsia="Times New Roman" w:hAnsi="Arial" w:cs="B Lotus" w:hint="cs"/>
          <w:b/>
          <w:bCs/>
          <w:sz w:val="28"/>
          <w:szCs w:val="28"/>
          <w:rtl/>
          <w:lang w:bidi="fa-IR"/>
        </w:rPr>
        <w:t>منابع</w:t>
      </w:r>
    </w:p>
    <w:p w14:paraId="773F387F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قرآن کریم؛ ترجمه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 ناصر مکارم شیرازی.</w:t>
      </w:r>
    </w:p>
    <w:p w14:paraId="4F674969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ابن‌سینا،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بوعل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ابن‌سینا و تدبیر منزل؛ ترجمه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 محمد نجمی زنجانی؛ تهران، مجمع نشر کتاب، 1319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487822ED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ابن‌عاشور، محمد‌بن‌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طاهر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التحریر و التنویر؛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موسسه التاریخ العربی، 1420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43E0B983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ابن عربى، محيى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الدين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تفسیر ابن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عربی؛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 احياء التراث العربى، 1422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F39A125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ابن‌فارس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؛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معجم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مقاییس اللغه؛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قم، مکتب الاعلام الاسلامی، 1410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00E7D805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ابن‌منظور، محمد‌بن‌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>مکرم؛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لسان العرب؛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چاپ سوم، بیروت، دار صادر، 1414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ق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.</w:t>
      </w:r>
    </w:p>
    <w:p w14:paraId="5956E78B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اندلسى، ابن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عطيه عبدالحق‌بن‌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غالب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المحرر الوجيز فى تفسير الكتاب العزيز؛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دارالکتب العلمیه، 1422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75FDB462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اندلسى، ابوحيان محمد‌بن‌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يوسف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البحر المحيط فى التفسير؛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بيروت‏، دارالفكر، 1420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0FE06B2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بحرانى، سيد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هاشم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البرهان فى تفسير القرآن‏؛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بنياد بعثت، 1416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ق‏.</w:t>
      </w:r>
    </w:p>
    <w:p w14:paraId="4C538E24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بيضاوى، عبدالله‌بن‌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عمر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أنوار التنزيل و أسرارالتأويل‏؛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داراحياء التراث العربى، 1418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C80CCC0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پسندیده، عباس؛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پژوهشی در فرهنگ حیا؛ قم، دارالحدیث، 1384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43BBB24" w14:textId="77777777" w:rsidR="00122593" w:rsidRPr="006229C7" w:rsidRDefault="00122593" w:rsidP="00122593">
      <w:pPr>
        <w:numPr>
          <w:ilvl w:val="0"/>
          <w:numId w:val="1"/>
        </w:numPr>
        <w:tabs>
          <w:tab w:val="left" w:pos="1274"/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حاج سید جوادی، احمد؛ خرمشاهی، بهاءالدین؛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خان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ی، کامران؛ دایره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المعارف تشیع؛ تهران، شهید سعید محبی، ۱۳۸۴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7287224D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حسينى شاه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عبدالعظیمی، حسين‌بن‌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اثنا عشری؛ تهران، میقات، 1363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453BD617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حسينى شيرازى، سيد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تقريب القرآن إلى الأذهان؛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دارالعلوم، 1424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390FC69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  <w:tab w:val="left" w:pos="902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خوری شرتونی،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سع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اقرب الموارد فی فصح و الشوارد؛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اسوه، 1385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0C3009A3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درويش، محيى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الدين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‏اعراب القرآن و بيانه‏؛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چاپ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چهارم، سوریه، دارالارشاد، 1415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9EE5C40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راغب اصفهانی، حسین‌بن‌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المفردات فی غریب القرآن؛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دمشق-بیروت، دارالعلم الدار الشامیه، 1412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855D945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رسولی، حجت و قادر قادری؛ «زیبا شناسی اسلوب تأکید در سوره‌ی یوسف (ع)»؛ مطالعات ادبی متون اسلامی،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شماره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 5، ۱۳۹۲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507CF39F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lastRenderedPageBreak/>
        <w:t xml:space="preserve">زمخشرى،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محمود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الكشاف عن حقائق غوامض التنزيل‏؛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سوم،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دارالكتاب العربي العلميه، 1407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649B0682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سید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قطب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فى ظلال القرآن؛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دوم، بیروت، دارالشروق، 1412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A558AB6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سیوطی، جلال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الد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الاتقان فی علوم القرآن؛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بیروت، دارالکتب العلمیه، 1425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EB727A8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شریفی ریگی،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نکته‌های تربیتی سوره‌ی مبارکه یوسف؛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قم، جمکران، 1397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43793312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صدوق، محمد‌بن‌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على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من لايحضره الفقيه‏؛ به تحقیق على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اكبر غفارى؛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دوم، قم، دفتر انتشارات اسلامى وابسته به جامعه مدرسين حوزه علميه قم‏، 1413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BA9079E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ضيف،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شوقي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تاريخ الادب العربي؛ مصر، دارالمعارف، 1960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E95F637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طاهری، علی؛ «بررسی سبک هنری قرآن کریم در به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softHyphen/>
        <w:t>کارگیری انواع کنایه و عدول از لفظ قبیح به حسن»؛ پژوهش های ادبی- قرآنی،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سال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سوم، شماره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 3، 1394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A137034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طباطبايى، سيد محمد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حسين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الميزان فى تفسير القرآن؛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پنجم،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قم، دفتر انتشارات اسلامى، 1417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76C434A8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طبرسی، فضل‌بن‌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حسن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‏ تفسير جوامع الجامع؛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دانشگاه تهران و مديريت حوزه علميه قم‏، 1377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602512F5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ــــــــــــــــــــ؛ ‏مجمع البيان فى تفسير القرآن؛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سوم،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ناصرخسرو، 1372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095519A6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طریحی،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فخرالد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مجمع البحرین؛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سوم، تهران، مرتضوی، 1375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20C5A436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طوسى، محمد‌بن‌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حسن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‏التبيان فى تفسير القرآن؛ بیروت،‏ دار احياء التراث العربى، بی‌تا.</w:t>
      </w:r>
    </w:p>
    <w:p w14:paraId="59397A37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طوسی، نصیرالدین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کشایش نامه؛ تهران، دانشکده علوم معقول و منقول، 1341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0D127E94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طيب، سيد عبد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الحسين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اطيب البيان في تفسير القرآن؛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دوم،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اسلام، 1378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98EAB24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274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فرميهني،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محسن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فرهنگ توصيفي علوم تربيتي؛ تهران، اسرار دانش، 1378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1484079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274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فقیهی، علی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نق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تربیت جنسی، مبانی، اصول و روش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ها از منظر قرآن و حدیث؛ قم، دارالحدیث، 1387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BDE24DF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274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فلسفی،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محمدتق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بزرگسال و جوان از نظر افکار و تمایلات؛ تهران، هیئت نشر معارف اسلامی، 1377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4393A5B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مزیدی، محمد و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خدمتیان؛ «ارائه الگوی تربیت جنسی با تکیه بر دیدگاه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softHyphen/>
        <w:t>های اندیشمندان مسلمان»؛ تربیت اسلامی، شماره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 25، 1396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2808982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lastRenderedPageBreak/>
        <w:t>مستقیمی، مهدیه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سادات؛ امرایی، ایوب؛ فضلی،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محمد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«تحلیلی از متانت گفتاری زبان قرآن در حوزه التذاذات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جنسی»؛ مطالعات راهبردی زنان،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شماره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49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، 1389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6827E889" w14:textId="77777777" w:rsidR="00122593" w:rsidRPr="006229C7" w:rsidRDefault="00122593" w:rsidP="00122593">
      <w:pPr>
        <w:numPr>
          <w:ilvl w:val="0"/>
          <w:numId w:val="1"/>
        </w:numPr>
        <w:tabs>
          <w:tab w:val="left" w:pos="849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مصطفوى، 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>حسن؛ التحقيق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في كلمات القرآن الكريم؛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تهران، بنگاه ترجمه و نشر کتاب، 1360</w:t>
      </w:r>
      <w:r w:rsidRPr="006229C7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ش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.</w:t>
      </w:r>
    </w:p>
    <w:p w14:paraId="5E10C555" w14:textId="77777777" w:rsidR="00122593" w:rsidRPr="006229C7" w:rsidRDefault="00122593" w:rsidP="00122593">
      <w:pPr>
        <w:numPr>
          <w:ilvl w:val="0"/>
          <w:numId w:val="1"/>
        </w:numPr>
        <w:tabs>
          <w:tab w:val="left" w:pos="849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ــــــــــــــــ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</w:t>
      </w:r>
      <w:commentRangeStart w:id="0"/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تفسیرروشن</w:t>
      </w:r>
      <w:commentRangeEnd w:id="0"/>
      <w:r w:rsidRPr="006229C7">
        <w:rPr>
          <w:sz w:val="16"/>
          <w:szCs w:val="16"/>
          <w:rtl/>
        </w:rPr>
        <w:commentReference w:id="0"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؛ 1380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446F277E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416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rtl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مطهرى،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مرتض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اخلاق جنسی در اسلام و جهان غرب؛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چاپ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بیست و دوم، تهران، صدرا، 1386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774AEFE7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416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ــــــــــــــ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اخلاق جنسی؛ تهران، صدرا، 1370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0E256AC" w14:textId="77777777" w:rsidR="00122593" w:rsidRPr="006229C7" w:rsidRDefault="00122593" w:rsidP="00122593">
      <w:pPr>
        <w:numPr>
          <w:ilvl w:val="0"/>
          <w:numId w:val="1"/>
        </w:numPr>
        <w:tabs>
          <w:tab w:val="left" w:pos="119"/>
          <w:tab w:val="left" w:pos="261"/>
          <w:tab w:val="left" w:pos="1416"/>
          <w:tab w:val="right" w:pos="8341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ــــــــــــــ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تعلیم و تربیت در اسلام؛ تهرن، صدرا، 1389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5623D1BC" w14:textId="77777777" w:rsidR="00122593" w:rsidRPr="006229C7" w:rsidRDefault="00122593" w:rsidP="001225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مكارم شيرازى،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ناصر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تفسیر نمونه؛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تهران، دارالکتب الاسلامیه، 1374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3731FD8D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ميبدى،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رشيدالدين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كشف الأسرار و عدة الأبرار؛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چاپ 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پنجم، تهران، امیرکبیر، 1371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13D8E56A" w14:textId="77777777" w:rsidR="00122593" w:rsidRPr="006229C7" w:rsidRDefault="00122593" w:rsidP="00122593">
      <w:pPr>
        <w:numPr>
          <w:ilvl w:val="0"/>
          <w:numId w:val="1"/>
        </w:numPr>
        <w:tabs>
          <w:tab w:val="left" w:pos="1416"/>
        </w:tabs>
        <w:spacing w:after="0" w:line="276" w:lineRule="auto"/>
        <w:contextualSpacing/>
        <w:jc w:val="both"/>
        <w:rPr>
          <w:rFonts w:ascii="Calibri" w:eastAsia="Times New Roman" w:hAnsi="Calibri" w:cs="B Lotus"/>
          <w:sz w:val="28"/>
          <w:szCs w:val="28"/>
          <w:lang w:bidi="fa-IR"/>
        </w:rPr>
      </w:pP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نراقی،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مهد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ی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>؛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 xml:space="preserve"> جامع السعادات؛ ترجمه جلال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softHyphen/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الدین مجتبوی؛ تهران، حکمت، 1385</w:t>
      </w:r>
      <w:r w:rsidRPr="006229C7">
        <w:rPr>
          <w:rFonts w:ascii="Calibri" w:eastAsia="Times New Roman" w:hAnsi="Calibri" w:cs="B Lotus"/>
          <w:sz w:val="28"/>
          <w:szCs w:val="28"/>
          <w:rtl/>
          <w:lang w:bidi="fa-IR"/>
        </w:rPr>
        <w:t xml:space="preserve"> </w:t>
      </w:r>
      <w:r w:rsidRPr="006229C7">
        <w:rPr>
          <w:rFonts w:ascii="Calibri" w:eastAsia="Times New Roman" w:hAnsi="Calibri" w:cs="B Lotus" w:hint="eastAsia"/>
          <w:sz w:val="28"/>
          <w:szCs w:val="28"/>
          <w:rtl/>
          <w:lang w:bidi="fa-IR"/>
        </w:rPr>
        <w:t>ش</w:t>
      </w:r>
      <w:r w:rsidRPr="006229C7">
        <w:rPr>
          <w:rFonts w:ascii="Calibri" w:eastAsia="Times New Roman" w:hAnsi="Calibri" w:cs="B Lotus" w:hint="cs"/>
          <w:sz w:val="28"/>
          <w:szCs w:val="28"/>
          <w:rtl/>
          <w:lang w:bidi="fa-IR"/>
        </w:rPr>
        <w:t>.</w:t>
      </w:r>
    </w:p>
    <w:p w14:paraId="02E5C929" w14:textId="77777777" w:rsidR="00122593" w:rsidRDefault="00122593" w:rsidP="00122593"/>
    <w:p w14:paraId="4462DF78" w14:textId="77777777" w:rsidR="0086308E" w:rsidRDefault="0086308E">
      <w:bookmarkStart w:id="1" w:name="_GoBack"/>
      <w:bookmarkEnd w:id="1"/>
    </w:p>
    <w:sectPr w:rsidR="0086308E" w:rsidSect="00F8342C">
      <w:pgSz w:w="11907" w:h="1684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AMTOO" w:date="2019-07-21T16:24:00Z" w:initials="A">
    <w:p w14:paraId="12ABA768" w14:textId="77777777" w:rsidR="00122593" w:rsidRDefault="00122593" w:rsidP="0012259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مکان، و ناشر؟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BA7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1368B"/>
    <w:multiLevelType w:val="hybridMultilevel"/>
    <w:tmpl w:val="5FC6C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3"/>
    <w:rsid w:val="00122593"/>
    <w:rsid w:val="008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CB9D"/>
  <w15:chartTrackingRefBased/>
  <w15:docId w15:val="{8BF89CD8-925D-4410-BC80-3B4D9FDE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93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593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2019-12-09T06:25:00Z</dcterms:created>
  <dcterms:modified xsi:type="dcterms:W3CDTF">2019-12-09T06:26:00Z</dcterms:modified>
</cp:coreProperties>
</file>