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F5376" w14:textId="77777777" w:rsidR="00B639B2" w:rsidRPr="0062156E" w:rsidRDefault="00B639B2" w:rsidP="00B639B2">
      <w:pPr>
        <w:spacing w:after="0"/>
        <w:ind w:firstLine="0"/>
        <w:jc w:val="lowKashida"/>
        <w:rPr>
          <w:rFonts w:ascii="IRZar" w:eastAsia="Times New Roman" w:hAnsi="IRZar" w:cs="B Lotus"/>
          <w:b/>
          <w:bCs/>
          <w:sz w:val="28"/>
          <w:szCs w:val="28"/>
          <w:rtl/>
          <w:lang w:bidi="fa-IR"/>
        </w:rPr>
      </w:pPr>
      <w:r w:rsidRPr="0062156E">
        <w:rPr>
          <w:rFonts w:ascii="IRZar" w:eastAsia="Times New Roman" w:hAnsi="IRZar" w:cs="B Lotus" w:hint="cs"/>
          <w:b/>
          <w:bCs/>
          <w:sz w:val="28"/>
          <w:szCs w:val="28"/>
          <w:rtl/>
          <w:lang w:bidi="fa-IR"/>
        </w:rPr>
        <w:t>منابع</w:t>
      </w:r>
    </w:p>
    <w:p w14:paraId="5B11AF42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Times New Roman" w:eastAsia="Times New Roman" w:hAnsi="Times New Roman" w:cs="B Lotus"/>
          <w:sz w:val="28"/>
          <w:szCs w:val="28"/>
          <w:rtl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قرآن کریم؛ ترجمه‌ی ناصر مکارم شیرازی؛</w:t>
      </w:r>
      <w:r w:rsidRPr="0062156E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 xml:space="preserve"> چاپ دوم، قم، دارالقرآن الکریم (دفتر مطالعات تاریخ و معارف اسلامی)، 1373</w:t>
      </w:r>
      <w:r w:rsidRPr="0062156E">
        <w:rPr>
          <w:rFonts w:ascii="Times New Roman" w:eastAsia="Times New Roman" w:hAnsi="Times New Roman" w:cs="B Lotus"/>
          <w:sz w:val="28"/>
          <w:szCs w:val="28"/>
          <w:rtl/>
          <w:lang w:bidi="fa-IR"/>
        </w:rPr>
        <w:t xml:space="preserve"> ش</w:t>
      </w:r>
      <w:r w:rsidRPr="0062156E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>.</w:t>
      </w:r>
    </w:p>
    <w:p w14:paraId="507D50AA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نهج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softHyphen/>
        <w:t>البلاغه؛ سيد رضى، محمد؛ تصحیح عزیزالله عطاردی؛ قم، مؤسسه نهج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softHyphen/>
        <w:t>البلاغه، 1414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t xml:space="preserve"> ق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.</w:t>
      </w:r>
    </w:p>
    <w:p w14:paraId="728C73DA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الصحيفة السجاديه؛ ‌قم، الهادی، 1418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t xml:space="preserve"> ق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‌.‌</w:t>
      </w:r>
    </w:p>
    <w:p w14:paraId="11457A31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</w:rPr>
        <w:t>آذرنوش، آذرتاش؛ فرهنگ معاصر عربي- فارسي؛ چاپ هشتم، تهران، نی، 1386</w:t>
      </w:r>
      <w:r w:rsidRPr="0062156E">
        <w:rPr>
          <w:rFonts w:ascii="IRZar" w:eastAsia="Times New Roman" w:hAnsi="IRZar" w:cs="B Lotus"/>
          <w:sz w:val="28"/>
          <w:szCs w:val="28"/>
          <w:rtl/>
        </w:rPr>
        <w:t xml:space="preserve"> ش</w:t>
      </w:r>
      <w:r w:rsidRPr="0062156E">
        <w:rPr>
          <w:rFonts w:ascii="IRZar" w:eastAsia="Times New Roman" w:hAnsi="IRZar" w:cs="B Lotus" w:hint="cs"/>
          <w:sz w:val="28"/>
          <w:szCs w:val="28"/>
          <w:rtl/>
        </w:rPr>
        <w:t>.</w:t>
      </w:r>
    </w:p>
    <w:p w14:paraId="316D775A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</w:rPr>
        <w:t>آريان</w:t>
      </w:r>
      <w:r w:rsidRPr="0062156E">
        <w:rPr>
          <w:rFonts w:ascii="IRZar" w:eastAsia="Times New Roman" w:hAnsi="IRZar" w:cs="B Lotus" w:hint="cs"/>
          <w:sz w:val="28"/>
          <w:szCs w:val="28"/>
          <w:rtl/>
        </w:rPr>
        <w:softHyphen/>
        <w:t>پور كاشاني، عباس؛ فرهنگ دانشگاهي آريان</w:t>
      </w:r>
      <w:r w:rsidRPr="0062156E">
        <w:rPr>
          <w:rFonts w:ascii="IRZar" w:eastAsia="Times New Roman" w:hAnsi="IRZar" w:cs="B Lotus" w:hint="cs"/>
          <w:sz w:val="28"/>
          <w:szCs w:val="28"/>
          <w:rtl/>
        </w:rPr>
        <w:softHyphen/>
        <w:t>پور؛ چاپ بیست و نهم، تهران، امیرکبیر، 1384</w:t>
      </w:r>
      <w:r w:rsidRPr="0062156E">
        <w:rPr>
          <w:rFonts w:ascii="IRZar" w:eastAsia="Times New Roman" w:hAnsi="IRZar" w:cs="B Lotus"/>
          <w:sz w:val="28"/>
          <w:szCs w:val="28"/>
          <w:rtl/>
        </w:rPr>
        <w:t xml:space="preserve"> ش</w:t>
      </w:r>
      <w:r w:rsidRPr="0062156E">
        <w:rPr>
          <w:rFonts w:ascii="IRZar" w:eastAsia="Times New Roman" w:hAnsi="IRZar" w:cs="B Lotus" w:hint="cs"/>
          <w:sz w:val="28"/>
          <w:szCs w:val="28"/>
          <w:rtl/>
        </w:rPr>
        <w:t>.</w:t>
      </w:r>
    </w:p>
    <w:p w14:paraId="4F889175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 xml:space="preserve">آمدی، عبدالواحد؛ غررالحکم و دررالکلم؛ مهدی </w:t>
      </w:r>
      <w:commentRangeStart w:id="0"/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رجائی</w:t>
      </w:r>
      <w:commentRangeEnd w:id="0"/>
      <w:r w:rsidRPr="0062156E">
        <w:rPr>
          <w:sz w:val="16"/>
          <w:szCs w:val="16"/>
          <w:rtl/>
        </w:rPr>
        <w:commentReference w:id="0"/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؛ چاپ دوم، قم، دار الکتاب الإسلامی،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t xml:space="preserve"> 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۱۴۱۰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t xml:space="preserve"> ق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.</w:t>
      </w:r>
    </w:p>
    <w:p w14:paraId="45412692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ابن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softHyphen/>
        <w:t>بابویه، محمد؛ من لایحضره الفقیه؛ چاپ دوم، قم، دفتر انتشارات اسلامى‌،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t xml:space="preserve"> 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1413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t xml:space="preserve"> ق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.</w:t>
      </w:r>
    </w:p>
    <w:p w14:paraId="6F718C8C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ابن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softHyphen/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عباد، اسماعیل؛ المحيط في اللغه؛‌ تصحیح محمدحسن آل ياسين؛ بیروت، عالم الكتاب‌، 1414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t xml:space="preserve"> ق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.‌</w:t>
      </w:r>
    </w:p>
    <w:p w14:paraId="7229CB12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ابن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softHyphen/>
        <w:t>منظور، محمدبن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softHyphen/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مكرم؛‌ لسان العرب؛‌ تصحیح احمد فارس صاحب الجوائب؛ ‌چاپ سوم، بیروت، دار الفكر للطباعة و النشر و التوزيع- دار صادر‌، 1414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t xml:space="preserve"> ق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.‌</w:t>
      </w:r>
    </w:p>
    <w:p w14:paraId="48606740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انصارى، مرتضى؛ رساله رضاعیه؛ قم، مجمع الفکر، بی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softHyphen/>
        <w:t>تا.</w:t>
      </w:r>
    </w:p>
    <w:p w14:paraId="3565E9E0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Calibri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 xml:space="preserve">بلاغی، محمدجواد؛ </w:t>
      </w:r>
      <w:r w:rsidRPr="0062156E">
        <w:rPr>
          <w:rFonts w:ascii="IRZar" w:eastAsia="Calibri" w:hAnsi="IRZar" w:cs="B Lotus" w:hint="cs"/>
          <w:sz w:val="28"/>
          <w:szCs w:val="28"/>
          <w:rtl/>
          <w:lang w:bidi="fa-IR"/>
        </w:rPr>
        <w:t xml:space="preserve">آلاء الرحمن في تفسير القرآن‏؛ 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تحقیق: بنياد بعثت، واحد تحقيقات اسلامى‏</w:t>
      </w:r>
      <w:r w:rsidRPr="0062156E">
        <w:rPr>
          <w:rFonts w:ascii="IRZar" w:eastAsia="Calibri" w:hAnsi="IRZar" w:cs="B Lotus" w:hint="cs"/>
          <w:sz w:val="28"/>
          <w:szCs w:val="28"/>
          <w:rtl/>
          <w:lang w:bidi="fa-IR"/>
        </w:rPr>
        <w:t>،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 xml:space="preserve"> قم، وجدانى‏</w:t>
      </w:r>
      <w:r w:rsidRPr="0062156E">
        <w:rPr>
          <w:rFonts w:ascii="IRZar" w:eastAsia="Calibri" w:hAnsi="IRZar" w:cs="B Lotus" w:hint="cs"/>
          <w:sz w:val="28"/>
          <w:szCs w:val="28"/>
          <w:rtl/>
          <w:lang w:bidi="fa-IR"/>
        </w:rPr>
        <w:t>، بی</w:t>
      </w:r>
      <w:r w:rsidRPr="0062156E">
        <w:rPr>
          <w:rFonts w:ascii="IRZar" w:eastAsia="Calibri" w:hAnsi="IRZar" w:cs="B Lotus" w:hint="cs"/>
          <w:sz w:val="28"/>
          <w:szCs w:val="28"/>
          <w:rtl/>
          <w:lang w:bidi="fa-IR"/>
        </w:rPr>
        <w:softHyphen/>
        <w:t>تا.</w:t>
      </w:r>
    </w:p>
    <w:p w14:paraId="21CA183C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جبعی عاملی، زین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softHyphen/>
        <w:t xml:space="preserve">الدین؛ الروضة البهیة فی شرح اللمعة 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t>الدمشق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ی</w:t>
      </w:r>
      <w:r w:rsidRPr="0062156E">
        <w:rPr>
          <w:rFonts w:ascii="IRZar" w:eastAsia="Times New Roman" w:hAnsi="IRZar" w:cs="B Lotus" w:hint="eastAsia"/>
          <w:sz w:val="28"/>
          <w:szCs w:val="28"/>
          <w:rtl/>
          <w:lang w:bidi="fa-IR"/>
        </w:rPr>
        <w:t>ة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t xml:space="preserve"> (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المحشّى- سلطان العلماء)؛ قم، دفتر تبلیغات اسلامى حوزه علمیه قم‌، 1412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t xml:space="preserve"> ق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.</w:t>
      </w:r>
    </w:p>
    <w:p w14:paraId="611071D0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جعفری لنگرودی، محمدجعفر؛ ترمینولوژی حقوق؛ چاپ بیست و هشتم، تهران، گنج دانش، 1394.</w:t>
      </w:r>
    </w:p>
    <w:p w14:paraId="4EEB255C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جمعی از پژوهشگران (زير نظر محمود هاشمى شاهرودى)؛ فرهنگ فقه مطابق مذهب اهل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softHyphen/>
        <w:t>بيت عليهم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softHyphen/>
        <w:t>السلام؛ قم، مؤسسه دائرة‌المعارف فقه اسلامى بر مذهب اهل‌بیت عليهم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softHyphen/>
        <w:t>السلام، 1426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t xml:space="preserve"> ق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.</w:t>
      </w:r>
    </w:p>
    <w:p w14:paraId="2E050A5F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Traditional Arabic" w:eastAsia="Times New Roman" w:hAnsi="Traditional Arabic" w:cs="B Lotus" w:hint="cs"/>
          <w:sz w:val="28"/>
          <w:szCs w:val="28"/>
          <w:rtl/>
          <w:lang w:bidi="fa-IR"/>
        </w:rPr>
        <w:t>حائرى طهرانى، على‏؛ مقتنيات الدرر؛ تهران، دار الكتب الإسلامية، 1338</w:t>
      </w:r>
      <w:r w:rsidRPr="0062156E">
        <w:rPr>
          <w:rFonts w:ascii="Traditional Arabic" w:eastAsia="Times New Roman" w:hAnsi="Traditional Arabic" w:cs="B Lotus"/>
          <w:sz w:val="28"/>
          <w:szCs w:val="28"/>
          <w:rtl/>
          <w:lang w:bidi="fa-IR"/>
        </w:rPr>
        <w:t xml:space="preserve"> ش</w:t>
      </w:r>
      <w:r w:rsidRPr="0062156E">
        <w:rPr>
          <w:rFonts w:ascii="Traditional Arabic" w:eastAsia="Times New Roman" w:hAnsi="Traditional Arabic" w:cs="B Lotus" w:hint="cs"/>
          <w:sz w:val="28"/>
          <w:szCs w:val="28"/>
          <w:rtl/>
          <w:lang w:bidi="fa-IR"/>
        </w:rPr>
        <w:t>‏.</w:t>
      </w:r>
    </w:p>
    <w:p w14:paraId="126BB116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lastRenderedPageBreak/>
        <w:t>حسینی تهرانى، محمدحسین؛ ولایت‌فقیه در حكومت اسلام؛ چاپ دوم، مشهد، علامه طباطبایى، 1421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t xml:space="preserve"> ق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.</w:t>
      </w:r>
    </w:p>
    <w:p w14:paraId="487552E9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حر عاملى، محمد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softHyphen/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بن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softHyphen/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حسن؛ تفصیل وسائل الشیعة إلى تحصیل مسائل الشریعة؛ قم، مؤسسة آل البیت علیهم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softHyphen/>
        <w:t>السلام، 1409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t xml:space="preserve"> ق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.</w:t>
      </w:r>
    </w:p>
    <w:p w14:paraId="57FA9E24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حلی، جعفربن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softHyphen/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حسن؛ شرائع الإسلام في مسائل الحلال و الحرام؛‌ تصحیح، عبدالحسين محمدعلى بقال؛ ‌چاپ دوم، قم، مؤسسه اسماعيليان،‌ 1408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t xml:space="preserve"> ق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.‌</w:t>
      </w:r>
    </w:p>
    <w:p w14:paraId="4491C1B1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خوانسارى، آقاجمال؛ شرح غرر و درر؛ تصحيح ارموى؛ چاپ چهارم، تهران، دانشگاه تهران، 1366</w:t>
      </w:r>
    </w:p>
    <w:p w14:paraId="26C06B62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Traditional Arabic" w:eastAsia="Times New Roman" w:hAnsi="Traditional Arabic" w:cs="B Lotus" w:hint="cs"/>
          <w:sz w:val="28"/>
          <w:szCs w:val="28"/>
          <w:rtl/>
          <w:lang w:bidi="fa-IR"/>
        </w:rPr>
        <w:t>زمخشرى، محمودبن</w:t>
      </w:r>
      <w:r w:rsidRPr="0062156E">
        <w:rPr>
          <w:rFonts w:ascii="Traditional Arabic" w:eastAsia="Times New Roman" w:hAnsi="Traditional Arabic" w:cs="B Lotus"/>
          <w:sz w:val="28"/>
          <w:szCs w:val="28"/>
          <w:rtl/>
          <w:lang w:bidi="fa-IR"/>
        </w:rPr>
        <w:softHyphen/>
      </w:r>
      <w:r w:rsidRPr="0062156E">
        <w:rPr>
          <w:rFonts w:ascii="Traditional Arabic" w:eastAsia="Times New Roman" w:hAnsi="Traditional Arabic" w:cs="B Lotus" w:hint="cs"/>
          <w:sz w:val="28"/>
          <w:szCs w:val="28"/>
          <w:rtl/>
          <w:lang w:bidi="fa-IR"/>
        </w:rPr>
        <w:t>عمر؛ الكشاف عن حقائق غوامض التنزيل و عيون الأقاويل فى وجوه التأويل‏؛ تصحیح مصطفى حسين احمد؛ چاپ سوم، بیروت، دار الكتاب العربي‏، 1407</w:t>
      </w:r>
      <w:r w:rsidRPr="0062156E">
        <w:rPr>
          <w:rFonts w:ascii="Traditional Arabic" w:eastAsia="Times New Roman" w:hAnsi="Traditional Arabic" w:cs="B Lotus"/>
          <w:sz w:val="28"/>
          <w:szCs w:val="28"/>
          <w:rtl/>
          <w:lang w:bidi="fa-IR"/>
        </w:rPr>
        <w:t xml:space="preserve"> ق</w:t>
      </w:r>
      <w:r w:rsidRPr="0062156E">
        <w:rPr>
          <w:rFonts w:ascii="Traditional Arabic" w:eastAsia="Times New Roman" w:hAnsi="Traditional Arabic" w:cs="B Lotus" w:hint="cs"/>
          <w:sz w:val="28"/>
          <w:szCs w:val="28"/>
          <w:rtl/>
          <w:lang w:bidi="fa-IR"/>
        </w:rPr>
        <w:t>.‏</w:t>
      </w:r>
    </w:p>
    <w:p w14:paraId="3EE45E67" w14:textId="77777777" w:rsidR="00B639B2" w:rsidRPr="0062156E" w:rsidRDefault="00B639B2" w:rsidP="00B639B2">
      <w:pPr>
        <w:numPr>
          <w:ilvl w:val="0"/>
          <w:numId w:val="1"/>
        </w:numPr>
        <w:spacing w:after="0" w:line="256" w:lineRule="auto"/>
        <w:contextualSpacing/>
        <w:jc w:val="lowKashida"/>
        <w:rPr>
          <w:rFonts w:ascii="Calibri" w:eastAsia="Calibri" w:hAnsi="Calibri" w:cs="B Lotus"/>
          <w:sz w:val="28"/>
          <w:szCs w:val="28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سایت آموزش دادگستری استان تهران، (1393)،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t xml:space="preserve"> </w:t>
      </w:r>
      <w:r w:rsidRPr="0062156E">
        <w:rPr>
          <w:rFonts w:ascii="IRZar" w:eastAsia="Times New Roman" w:hAnsi="IRZar" w:cs="B Lotus"/>
          <w:sz w:val="28"/>
          <w:szCs w:val="28"/>
          <w:lang w:bidi="fa-IR"/>
        </w:rPr>
        <w:t>www.ghavanin.ir/PaperDetail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.</w:t>
      </w:r>
    </w:p>
    <w:p w14:paraId="5A065A0D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طاهرى، حبیب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softHyphen/>
        <w:t>الله؛ حقوق مدنى؛ چاپ دوم، قم، دفتر انتشارات اسلامى، 1376.</w:t>
      </w:r>
    </w:p>
    <w:p w14:paraId="40B98D3F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 xml:space="preserve">طباطبایى، محمدحسین؛ المیزان فی تفسیر القرآن؛ چاپ دوم، لبنان، </w:t>
      </w:r>
      <w:r w:rsidRPr="0062156E">
        <w:rPr>
          <w:rFonts w:ascii="Traditional Arabic" w:eastAsia="Times New Roman" w:hAnsi="Traditional Arabic" w:cs="B Lotus" w:hint="cs"/>
          <w:sz w:val="28"/>
          <w:szCs w:val="28"/>
          <w:rtl/>
          <w:lang w:bidi="fa-IR"/>
        </w:rPr>
        <w:t>مؤسسة الأعلمي للمطبوعات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 xml:space="preserve"> دفتر انتشارات اسلامى، 1390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t xml:space="preserve"> ق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.</w:t>
      </w:r>
    </w:p>
    <w:p w14:paraId="296C92A3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طبرسى، فضل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softHyphen/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بن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softHyphen/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حسن؛ مجمع‌البیان فی تفسیر القرآن؛ تهران، ناصرخسرو، 1372.</w:t>
      </w:r>
    </w:p>
    <w:p w14:paraId="45424E82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طوسى، محمدبن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softHyphen/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 xml:space="preserve">حسن؛ التبیان فی تفسیر القرآن؛ احمد قصیر </w:t>
      </w:r>
      <w:commentRangeStart w:id="1"/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عاملی</w:t>
      </w:r>
      <w:commentRangeEnd w:id="1"/>
      <w:r w:rsidRPr="0062156E">
        <w:rPr>
          <w:sz w:val="16"/>
          <w:szCs w:val="16"/>
          <w:rtl/>
        </w:rPr>
        <w:commentReference w:id="1"/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؛ بیروت، دار احیاءالتراث العربی، بی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softHyphen/>
        <w:t>تا.</w:t>
      </w:r>
    </w:p>
    <w:p w14:paraId="1BCA9C28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ــــــــــ؛ تهذیب الأحكام؛ چاپ چهارم، تهران، دار الكتب الإسلامیه، 1407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t xml:space="preserve"> ق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.</w:t>
      </w:r>
    </w:p>
    <w:p w14:paraId="46D57695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عباس‏نژاد، محسن؛ قرآن، روانشناسى و علوم تربيتى؛ مشهد مقدس، بنياد پژوهش‌های قرآنى حوزه و دانشگاه، 1384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t xml:space="preserve"> ش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.</w:t>
      </w:r>
    </w:p>
    <w:p w14:paraId="063319FC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Traditional Arabic" w:eastAsia="Times New Roman" w:hAnsi="Traditional Arabic" w:cs="B Lotus" w:hint="cs"/>
          <w:sz w:val="28"/>
          <w:szCs w:val="28"/>
          <w:rtl/>
          <w:lang w:bidi="fa-IR"/>
        </w:rPr>
        <w:t xml:space="preserve">عمر احمد عمر؛ منهج التربية في القرآن و السنة؛ تحقیق وهبه الزحیلی؛ </w:t>
      </w:r>
      <w:r w:rsidRPr="0062156E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 xml:space="preserve">دمشق، </w:t>
      </w:r>
      <w:r w:rsidRPr="0062156E">
        <w:rPr>
          <w:rFonts w:ascii="Traditional Arabic" w:eastAsia="Times New Roman" w:hAnsi="Traditional Arabic" w:cs="B Lotus" w:hint="cs"/>
          <w:sz w:val="28"/>
          <w:szCs w:val="28"/>
          <w:rtl/>
          <w:lang w:bidi="fa-IR"/>
        </w:rPr>
        <w:t>دار المعرفة</w:t>
      </w:r>
      <w:r w:rsidRPr="0062156E">
        <w:rPr>
          <w:rFonts w:ascii="Times New Roman" w:eastAsia="Times New Roman" w:hAnsi="Times New Roman" w:cs="B Lotus" w:hint="cs"/>
          <w:sz w:val="28"/>
          <w:szCs w:val="28"/>
          <w:rtl/>
          <w:lang w:bidi="fa-IR"/>
        </w:rPr>
        <w:t xml:space="preserve">، </w:t>
      </w:r>
      <w:r w:rsidRPr="0062156E">
        <w:rPr>
          <w:rFonts w:ascii="Traditional Arabic" w:eastAsia="Times New Roman" w:hAnsi="Traditional Arabic" w:cs="B Lotus" w:hint="cs"/>
          <w:sz w:val="28"/>
          <w:szCs w:val="28"/>
          <w:rtl/>
          <w:lang w:bidi="fa-IR"/>
        </w:rPr>
        <w:t>1416</w:t>
      </w:r>
      <w:r w:rsidRPr="0062156E">
        <w:rPr>
          <w:rFonts w:ascii="Traditional Arabic" w:eastAsia="Times New Roman" w:hAnsi="Traditional Arabic" w:cs="B Lotus"/>
          <w:sz w:val="28"/>
          <w:szCs w:val="28"/>
          <w:rtl/>
          <w:lang w:bidi="fa-IR"/>
        </w:rPr>
        <w:t xml:space="preserve"> ق</w:t>
      </w:r>
      <w:r w:rsidRPr="0062156E">
        <w:rPr>
          <w:rFonts w:ascii="Traditional Arabic" w:eastAsia="Times New Roman" w:hAnsi="Traditional Arabic" w:cs="B Lotus" w:hint="cs"/>
          <w:sz w:val="28"/>
          <w:szCs w:val="28"/>
          <w:rtl/>
          <w:lang w:bidi="fa-IR"/>
        </w:rPr>
        <w:t>.‏</w:t>
      </w:r>
    </w:p>
    <w:p w14:paraId="71788294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قرشى، على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softHyphen/>
        <w:t>اكبر؛ قاموس قرآن؛ چاپ ششم، تهران، دار الكتب الإسلامیة، 1412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t xml:space="preserve"> ق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.</w:t>
      </w:r>
    </w:p>
    <w:p w14:paraId="37366426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قمی، علی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softHyphen/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بن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softHyphen/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ابراهیم؛ تفسیر قمی؛ چاپ چهارم، قم، دارالکتاب، 1367.</w:t>
      </w:r>
    </w:p>
    <w:p w14:paraId="3CACCD5D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كلینى، محمد؛ الكافی؛ تصحیح علی‌اکبر غفارى؛ ‌چاپ چهارم، تهران، دار الكتب الإسلامية‌، 1407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t xml:space="preserve"> ق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.</w:t>
      </w:r>
    </w:p>
    <w:p w14:paraId="4C4F2E2B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لنكرانى، محمدفاضل موحدى؛ جامع المسائل؛ چاپ یازدهم، قم، امیر قلم، بی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softHyphen/>
        <w:t>تا.</w:t>
      </w:r>
    </w:p>
    <w:p w14:paraId="14AB091B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lastRenderedPageBreak/>
        <w:t>مطهرى، مرتضى؛ نظام حقوق زن در اسلام؛ قم، صدرا، بی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softHyphen/>
        <w:t>تا.</w:t>
      </w:r>
    </w:p>
    <w:p w14:paraId="0089105A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 xml:space="preserve">مغنیه، محمدجواد؛ </w:t>
      </w:r>
      <w:r w:rsidRPr="0062156E">
        <w:rPr>
          <w:rFonts w:ascii="Traditional Arabic" w:eastAsia="Times New Roman" w:hAnsi="Traditional Arabic" w:cs="B Lotus"/>
          <w:sz w:val="28"/>
          <w:szCs w:val="28"/>
          <w:rtl/>
          <w:lang w:bidi="fa-IR"/>
        </w:rPr>
        <w:t>التفسير الكاشف‏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؛ قم،</w:t>
      </w:r>
      <w:r w:rsidRPr="0062156E">
        <w:rPr>
          <w:rFonts w:ascii="Traditional Arabic" w:eastAsia="Times New Roman" w:hAnsi="Traditional Arabic" w:cs="B Lotus"/>
          <w:sz w:val="28"/>
          <w:szCs w:val="28"/>
          <w:rtl/>
          <w:lang w:bidi="fa-IR"/>
        </w:rPr>
        <w:t xml:space="preserve"> دار الكتاب الإسلامی، 1424 ق.‏</w:t>
      </w:r>
    </w:p>
    <w:p w14:paraId="2545015F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Calibri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 xml:space="preserve">مکارم شیرازى، ناصر؛ </w:t>
      </w:r>
      <w:r w:rsidRPr="0062156E">
        <w:rPr>
          <w:rFonts w:ascii="IRZar" w:eastAsia="Calibri" w:hAnsi="IRZar" w:cs="B Lotus" w:hint="cs"/>
          <w:sz w:val="28"/>
          <w:szCs w:val="28"/>
          <w:rtl/>
          <w:lang w:bidi="fa-IR"/>
        </w:rPr>
        <w:t xml:space="preserve">اخلاق در قرآن‏؛ قم، 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مدرسة الإمام علی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softHyphen/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بن أبي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softHyphen/>
        <w:t>طالب عليه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softHyphen/>
        <w:t>السلام</w:t>
      </w:r>
      <w:r w:rsidRPr="0062156E">
        <w:rPr>
          <w:rFonts w:ascii="IRZar" w:eastAsia="Calibri" w:hAnsi="IRZar" w:cs="B Lotus" w:hint="cs"/>
          <w:sz w:val="28"/>
          <w:szCs w:val="28"/>
          <w:rtl/>
          <w:lang w:bidi="fa-IR"/>
        </w:rPr>
        <w:t xml:space="preserve">، 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1377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t xml:space="preserve"> ش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‏</w:t>
      </w:r>
      <w:r w:rsidRPr="0062156E">
        <w:rPr>
          <w:rFonts w:ascii="IRZar" w:eastAsia="Calibri" w:hAnsi="IRZar" w:cs="B Lotus" w:hint="cs"/>
          <w:sz w:val="28"/>
          <w:szCs w:val="28"/>
          <w:rtl/>
          <w:lang w:bidi="fa-IR"/>
        </w:rPr>
        <w:t>.</w:t>
      </w:r>
    </w:p>
    <w:p w14:paraId="63526796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Calibri" w:hAnsi="IRZar" w:cs="B Lotus"/>
          <w:sz w:val="28"/>
          <w:szCs w:val="28"/>
          <w:lang w:bidi="fa-IR"/>
        </w:rPr>
      </w:pPr>
      <w:r w:rsidRPr="0062156E">
        <w:rPr>
          <w:rFonts w:ascii="IRZar" w:eastAsia="Calibri" w:hAnsi="IRZar" w:cs="B Lotus" w:hint="cs"/>
          <w:sz w:val="28"/>
          <w:szCs w:val="28"/>
          <w:rtl/>
          <w:lang w:bidi="fa-IR"/>
        </w:rPr>
        <w:t>ــــــــــ؛ تفسير نمونه‏؛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 xml:space="preserve"> چاپ دهم، تهران، دار الكتب الإسلاميه، 1371.</w:t>
      </w:r>
    </w:p>
    <w:p w14:paraId="6B5CD52C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Calibri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ــــــــــ؛ حیله‌هاى شرعى و چاره‌جوئى‌هاى صحیح؛ چاپ دوم، قم، مدرسة الإمام علی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softHyphen/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بن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t xml:space="preserve"> 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أبی‌طالب علیه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softHyphen/>
        <w:t>السلام، 1428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t xml:space="preserve"> ق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.</w:t>
      </w:r>
    </w:p>
    <w:p w14:paraId="636ADBE3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موسوی خمینى، روح‌الله؛ استفتائات؛ چاپ پنجم، قم، دفتر انتشارات اسلامى، 1422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t xml:space="preserve"> ق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.</w:t>
      </w:r>
    </w:p>
    <w:p w14:paraId="15828AAE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ــــــــــ؛ تحریر الوسیلة؛ قم، مؤسسه مطبوعات دار العلم، بی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softHyphen/>
        <w:t>تا.</w:t>
      </w:r>
    </w:p>
    <w:p w14:paraId="4C0EE850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ــــــــــ؛ توضیح المسائل (محشّى)؛ چاپ هشتم، قم، دفتر انتشارات اسلامى، 1424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t xml:space="preserve"> ق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.</w:t>
      </w:r>
    </w:p>
    <w:p w14:paraId="72F31A41" w14:textId="77777777" w:rsidR="00B639B2" w:rsidRPr="0062156E" w:rsidRDefault="00B639B2" w:rsidP="00B639B2">
      <w:pPr>
        <w:numPr>
          <w:ilvl w:val="0"/>
          <w:numId w:val="1"/>
        </w:numPr>
        <w:spacing w:after="0" w:line="257" w:lineRule="auto"/>
        <w:jc w:val="lowKashida"/>
        <w:rPr>
          <w:rFonts w:ascii="IRZar" w:eastAsia="Times New Roman" w:hAnsi="IRZar" w:cs="B Lotus"/>
          <w:sz w:val="28"/>
          <w:szCs w:val="28"/>
          <w:lang w:bidi="fa-IR"/>
        </w:rPr>
      </w:pP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نورى، حسین؛ مستدرك الوسائل و مستنبط المسائل؛ چاپ دوم، قم، آل البيت، 1409</w:t>
      </w:r>
      <w:r w:rsidRPr="0062156E">
        <w:rPr>
          <w:rFonts w:ascii="IRZar" w:eastAsia="Times New Roman" w:hAnsi="IRZar" w:cs="B Lotus"/>
          <w:sz w:val="28"/>
          <w:szCs w:val="28"/>
          <w:rtl/>
          <w:lang w:bidi="fa-IR"/>
        </w:rPr>
        <w:t xml:space="preserve"> ق</w:t>
      </w:r>
      <w:r w:rsidRPr="0062156E">
        <w:rPr>
          <w:rFonts w:ascii="IRZar" w:eastAsia="Times New Roman" w:hAnsi="IRZar" w:cs="B Lotus" w:hint="cs"/>
          <w:sz w:val="28"/>
          <w:szCs w:val="28"/>
          <w:rtl/>
          <w:lang w:bidi="fa-IR"/>
        </w:rPr>
        <w:t>.</w:t>
      </w:r>
    </w:p>
    <w:p w14:paraId="73431D9B" w14:textId="77777777" w:rsidR="00B639B2" w:rsidRPr="0062156E" w:rsidRDefault="00B639B2" w:rsidP="00B639B2">
      <w:pPr>
        <w:spacing w:after="0" w:line="256" w:lineRule="auto"/>
        <w:ind w:firstLine="0"/>
        <w:jc w:val="lowKashida"/>
        <w:rPr>
          <w:rFonts w:ascii="Calibri" w:eastAsia="Calibri" w:hAnsi="Calibri" w:cs="B Lotus"/>
          <w:sz w:val="28"/>
          <w:szCs w:val="28"/>
          <w:rtl/>
          <w:lang w:bidi="fa-IR"/>
        </w:rPr>
      </w:pPr>
    </w:p>
    <w:p w14:paraId="70D3B605" w14:textId="77777777" w:rsidR="00B639B2" w:rsidRPr="0062156E" w:rsidRDefault="00B639B2" w:rsidP="00B639B2">
      <w:pPr>
        <w:spacing w:after="0" w:line="288" w:lineRule="auto"/>
        <w:ind w:firstLine="0"/>
        <w:jc w:val="lowKashida"/>
        <w:rPr>
          <w:rFonts w:ascii="Calibri" w:eastAsia="Times New Roman" w:hAnsi="Calibri" w:cs="B Lotus"/>
          <w:sz w:val="28"/>
          <w:szCs w:val="28"/>
          <w:lang w:bidi="fa-IR"/>
        </w:rPr>
      </w:pPr>
    </w:p>
    <w:p w14:paraId="04FAE19F" w14:textId="77777777" w:rsidR="00B639B2" w:rsidRPr="0062156E" w:rsidRDefault="00B639B2" w:rsidP="00B639B2">
      <w:pPr>
        <w:ind w:firstLine="0"/>
        <w:rPr>
          <w:rFonts w:cs="B Lotus"/>
          <w:sz w:val="28"/>
          <w:szCs w:val="28"/>
        </w:rPr>
      </w:pPr>
    </w:p>
    <w:p w14:paraId="27AE315B" w14:textId="77777777" w:rsidR="00B639B2" w:rsidRDefault="00B639B2" w:rsidP="00B639B2"/>
    <w:p w14:paraId="60A84A6C" w14:textId="77777777" w:rsidR="0086308E" w:rsidRDefault="0086308E"/>
    <w:sectPr w:rsidR="0086308E" w:rsidSect="00E83017">
      <w:pgSz w:w="11907" w:h="15819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LAMTOO" w:date="2019-07-28T10:12:00Z" w:initials="A">
    <w:p w14:paraId="79AA8872" w14:textId="77777777" w:rsidR="00B639B2" w:rsidRDefault="00B639B2" w:rsidP="00B639B2">
      <w:pPr>
        <w:pStyle w:val="CommentText"/>
        <w:ind w:firstLine="0"/>
      </w:pPr>
      <w:r>
        <w:rPr>
          <w:rStyle w:val="CommentReference"/>
        </w:rPr>
        <w:annotationRef/>
      </w:r>
      <w:r>
        <w:rPr>
          <w:rFonts w:hint="cs"/>
          <w:rtl/>
        </w:rPr>
        <w:t>مصحح یا محقق اثر؟</w:t>
      </w:r>
    </w:p>
  </w:comment>
  <w:comment w:id="1" w:author="ALAMTOO" w:date="2019-07-28T10:16:00Z" w:initials="A">
    <w:p w14:paraId="1E418004" w14:textId="77777777" w:rsidR="00B639B2" w:rsidRDefault="00B639B2" w:rsidP="00B639B2">
      <w:pPr>
        <w:pStyle w:val="CommentText"/>
        <w:ind w:firstLine="0"/>
      </w:pPr>
      <w:r>
        <w:rPr>
          <w:rStyle w:val="CommentReference"/>
        </w:rPr>
        <w:annotationRef/>
      </w:r>
      <w:r>
        <w:rPr>
          <w:rFonts w:hint="cs"/>
          <w:rtl/>
        </w:rPr>
        <w:t>مصحح یا محقق؟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AA8872" w15:done="0"/>
  <w15:commentEx w15:paraId="1E41800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Zar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50187F"/>
    <w:multiLevelType w:val="hybridMultilevel"/>
    <w:tmpl w:val="00B21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B2"/>
    <w:rsid w:val="0086308E"/>
    <w:rsid w:val="00B6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D9B11"/>
  <w15:chartTrackingRefBased/>
  <w15:docId w15:val="{7D2C116A-2336-4C79-8B65-60B3B013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bidi/>
        <w:spacing w:line="120" w:lineRule="auto"/>
        <w:ind w:firstLine="720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9B2"/>
    <w:pPr>
      <w:spacing w:after="160" w:line="240" w:lineRule="auto"/>
      <w:jc w:val="left"/>
    </w:pPr>
    <w:rPr>
      <w:rFonts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63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9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9B2"/>
    <w:rPr>
      <w:rFonts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9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ebad jolaii</dc:creator>
  <cp:keywords/>
  <dc:description/>
  <cp:lastModifiedBy>ebad jolaii</cp:lastModifiedBy>
  <cp:revision>2</cp:revision>
  <dcterms:created xsi:type="dcterms:W3CDTF">2019-12-09T06:30:00Z</dcterms:created>
  <dcterms:modified xsi:type="dcterms:W3CDTF">2019-12-09T06:31:00Z</dcterms:modified>
</cp:coreProperties>
</file>