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48" w:rsidRPr="00E0050D" w:rsidRDefault="00292E48" w:rsidP="00292E48">
      <w:pPr>
        <w:spacing w:after="0" w:line="256" w:lineRule="auto"/>
        <w:ind w:firstLine="0"/>
        <w:jc w:val="lowKashida"/>
        <w:rPr>
          <w:rFonts w:ascii="Calibri" w:eastAsia="Calibri" w:hAnsi="Calibri" w:cs="B Lotus"/>
          <w:b/>
          <w:bCs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b/>
          <w:bCs/>
          <w:sz w:val="28"/>
          <w:szCs w:val="28"/>
          <w:rtl/>
          <w:lang w:bidi="fa-IR"/>
        </w:rPr>
        <w:t>منابع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قرآن کریم.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نهج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softHyphen/>
        <w:t>البلاغه؛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م دشتی؛ قم، پارسایان، 1382ش.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اصفهانی، راغب؛ المفردات فی غریب القرآن؛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غ خسروی حسینی؛ تهران، مرتضوی، 1363ش.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اکبری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softHyphen/>
        <w:t>راد، ط؛ «تفاوت دیدگاه مفسران با دیدگاه معناشناسانه در رابطه با مفهوم عمل صالح»؛ پژوهش دینی، 17، 1387ش.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ایزوتسو، ت؛ مفاهیم اخلاقی دینی در قرآن مجید؛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ب فریدون؛ تهران، فروزان، 1388ش.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باقری، خ؛ نگاهی دوباره به تربیت اسلامی؛ ج 1، تهران، مدرسه، 1386ش.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ــــــــــــــ؛ نگاهی دوباره به تربیت اسلامی؛ ج 2، تهران، مدرسه، 1388ش (الف).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ــــــــــــــ؛ «بررسی تطبیقی طرحواره اسلامی عمل با انسان‌شناسی (پسا) ساختارگرا»؛ فصلنامه تعلیم و تربیت، 98، 1388ش (ب).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ــــــــــــــ؛ «انسان به‌منزله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عامل؛ بحثی تطبیقی درباره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نقش پیش‌فرض‌ها در روانشناسی»؛ مجله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حوزه و دانشگاه، 9، 1375ش.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باقری، خ؛ ح اسکندری؛ ز خسروی؛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و م اکبری؛ «عمل آدمی و آثار آن»؛ روش‌شناسی علوم انسانی، 7، 1375ش.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ـــــــــــــــــــــــــــــــــــــــــــ؛ «پیش‌فرض‌های روان‌شناسی اسلامی»؛ روش‌شناسی علوم انسانی، 5، 1374ش.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</w:rPr>
        <w:t>تمیمی آمدی، ع؛ غررالحکم و دررالکلم؛ محقق و مصحح  ا رجائی؛ قم، دارالكتاب الإسلامي‌، 1410 ق.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جعفری، ح؛ «مفهوم عمل صالح در نظام اخلاقی قرآن»؛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مینا اسکویی؛ فصلنامه سفینه، 7(25)، 1388ش.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حسن‌زاده آملی، ح؛ انسان و قرآن؛ تهران، الزهراء، 1369ش.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خوشدل مفرد، ح؛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«بررسی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حوزه‌ی معنایی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عمل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صالح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قرآن»؛ پژوهشنامه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علوم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معارف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قرآن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کریم، 4</w:t>
      </w:r>
      <w:bookmarkStart w:id="0" w:name="_GoBack"/>
      <w:bookmarkEnd w:id="0"/>
      <w:r w:rsidRPr="00E0050D">
        <w:rPr>
          <w:rFonts w:ascii="Calibri" w:eastAsia="Calibri" w:hAnsi="Calibri" w:cs="B Lotus" w:hint="cs"/>
          <w:sz w:val="28"/>
          <w:szCs w:val="28"/>
          <w:rtl/>
        </w:rPr>
        <w:t>،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1388ش.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ذوالفقارزاده، م؛ درآمدی بر مدیریت صالحین- رویکردی آینده‌نگر؛ تهران، دانشگاه امام صادق (ع)، 1389ش.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</w:rPr>
        <w:lastRenderedPageBreak/>
        <w:t>رفسنجانی، ا؛ تفسیر راهنما؛ قم، بوستان کتاب قم (دفتر تبلیغات اسلامی حوزه علمیه قم)، 1386ش.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صدقی الانق، م؛ ایمان و عقل و ارتباط آن دو از دیدگاه قرآن و حدیث؛ پایان‌نامه دکتری، دانشکده غیرانتفاعی اصول دین، گروه علوم قرآن و حدیث، 1388ش.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صفایی حائری، ع؛ رشد؛ تهران، لیله‌القدر، 1388ش.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طباطبایی، م؛ تفسیر المیزان؛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ناصر مکارم شیرازی؛ چاپ سوم، بنیاد علمی و فکری علامه طباطبایی با همکاری مرکز نشر فرهنگی رجاء، 1366ش.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فضل‌الله، م؛ گفتگو و تفاهم در قرآن کریم؛ (ترجمه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م میردامادی؛) تهران، هرمس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t>،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1389ش.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قرائتی، م؛ تفسیر نور؛ قم، موسسه در راه حق، 1374ش.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کلینی، م؛ اصول کافی؛ ترجمه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ی م کمره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ای؛ تهران، اسوه، 1372ش.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گلکار، ب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و و ناصحی</w:t>
      </w:r>
      <w:r w:rsidRPr="00E0050D">
        <w:rPr>
          <w:rFonts w:ascii="Calibri" w:eastAsia="Calibri" w:hAnsi="Calibri" w:cs="B Lotus"/>
          <w:sz w:val="28"/>
          <w:szCs w:val="28"/>
          <w:rtl/>
          <w:lang w:bidi="fa-IR"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فر؛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«مروری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جنبه‌های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مختلف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تفکر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استراتژیک»؛ توسعه</w:t>
      </w:r>
      <w:r w:rsidRPr="00E0050D">
        <w:rPr>
          <w:rFonts w:ascii="Calibri" w:eastAsia="Calibri" w:hAnsi="Calibri" w:cs="B Lotus" w:hint="cs"/>
          <w:sz w:val="28"/>
          <w:szCs w:val="28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 xml:space="preserve">مدیریت، 41، 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1381ش.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</w:rPr>
        <w:t>مجلسی، م؛ بحارالانوار؛ ترجمه</w:t>
      </w:r>
      <w:r w:rsidRPr="00E0050D">
        <w:rPr>
          <w:rFonts w:ascii="Calibri" w:eastAsia="Calibri" w:hAnsi="Calibri" w:cs="B Lotus"/>
          <w:sz w:val="28"/>
          <w:szCs w:val="28"/>
          <w:rtl/>
        </w:rPr>
        <w:softHyphen/>
      </w:r>
      <w:r w:rsidRPr="00E0050D">
        <w:rPr>
          <w:rFonts w:ascii="Calibri" w:eastAsia="Calibri" w:hAnsi="Calibri" w:cs="B Lotus" w:hint="cs"/>
          <w:sz w:val="28"/>
          <w:szCs w:val="28"/>
          <w:rtl/>
        </w:rPr>
        <w:t>ی ه رسولی محلاتی؛ قم، بوستان کتاب قم (دفتر تبليغات اسلامي حوزه علميه قم)، 1384ش.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</w:rPr>
        <w:t>محبوب، ع؛ ماهیت تفکر؛ قم، باقیات، 1386ش.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</w:rPr>
        <w:t>مرکز فرهنگ و</w:t>
      </w:r>
      <w:r w:rsidRPr="00E0050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معارف قرآن؛ دایره المعارف قرآن کریم، ج 5، قم، بوستان کتاب قم (دفتر تبليغات اسلامي حوزه علميه قم)، 1382ش.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مکارم شیرازی، ن؛ تفسیر نمونه؛ تهران، دارالکتب الاسلامیه، 1374ش.</w:t>
      </w:r>
    </w:p>
    <w:p w:rsidR="00292E48" w:rsidRPr="00E0050D" w:rsidRDefault="00292E48" w:rsidP="00292E48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  <w:lang w:bidi="fa-IR"/>
        </w:rPr>
      </w:pP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مهدی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softHyphen/>
        <w:t xml:space="preserve">زاده، ح؛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«عناصر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خردورزی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>تعبیر</w:t>
      </w:r>
      <w:r w:rsidRPr="00E0050D">
        <w:rPr>
          <w:rFonts w:ascii="Calibri" w:eastAsia="Calibri" w:hAnsi="Calibri" w:cs="B Lotus" w:hint="cs"/>
          <w:sz w:val="28"/>
          <w:szCs w:val="28"/>
          <w:lang w:bidi="fa-IR"/>
        </w:rPr>
        <w:t xml:space="preserve"> </w:t>
      </w:r>
      <w:r w:rsidRPr="00E0050D">
        <w:rPr>
          <w:rFonts w:ascii="Calibri" w:eastAsia="Calibri" w:hAnsi="Calibri" w:cs="B Lotus" w:hint="cs"/>
          <w:sz w:val="28"/>
          <w:szCs w:val="28"/>
          <w:rtl/>
        </w:rPr>
        <w:t xml:space="preserve">دینی»؛ معرفت، 78، </w:t>
      </w:r>
      <w:r w:rsidRPr="00E0050D">
        <w:rPr>
          <w:rFonts w:ascii="Calibri" w:eastAsia="Calibri" w:hAnsi="Calibri" w:cs="B Lotus" w:hint="cs"/>
          <w:sz w:val="28"/>
          <w:szCs w:val="28"/>
          <w:rtl/>
          <w:lang w:bidi="fa-IR"/>
        </w:rPr>
        <w:t>1383ش.</w:t>
      </w:r>
    </w:p>
    <w:p w:rsidR="0086308E" w:rsidRDefault="00292E48" w:rsidP="00292E48">
      <w:r w:rsidRPr="00E0050D">
        <w:rPr>
          <w:rFonts w:ascii="Calibri" w:eastAsia="Calibri" w:hAnsi="Calibri" w:cs="B Lotus"/>
          <w:sz w:val="28"/>
          <w:szCs w:val="28"/>
        </w:rPr>
        <w:t>Sloan, J. Learning to Think Strategically, Burlington: Butterworth–Heinemann. Pp. 310. 2006</w:t>
      </w:r>
    </w:p>
    <w:sectPr w:rsidR="0086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93093"/>
    <w:multiLevelType w:val="hybridMultilevel"/>
    <w:tmpl w:val="7FA2D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48"/>
    <w:rsid w:val="00292E48"/>
    <w:rsid w:val="008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631F1-1DFC-4B69-8A2D-173A85E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48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48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2019-12-09T06:20:00Z</dcterms:created>
  <dcterms:modified xsi:type="dcterms:W3CDTF">2019-12-09T06:22:00Z</dcterms:modified>
</cp:coreProperties>
</file>