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44B24" w14:textId="77777777" w:rsidR="00F85594" w:rsidRPr="00F85594" w:rsidRDefault="00F85594" w:rsidP="00F85594">
      <w:pPr>
        <w:keepNext/>
        <w:keepLines/>
        <w:spacing w:before="240" w:line="240" w:lineRule="auto"/>
        <w:ind w:left="432" w:hanging="432"/>
        <w:jc w:val="both"/>
        <w:outlineLvl w:val="0"/>
        <w:rPr>
          <w:rFonts w:ascii="Cambria" w:eastAsia="Times New Roman" w:hAnsi="Cambria" w:cs="B Lotus"/>
          <w:bCs/>
          <w:sz w:val="24"/>
          <w:rtl/>
          <w:lang w:bidi="fa-IR"/>
        </w:rPr>
      </w:pPr>
      <w:r w:rsidRPr="00F85594">
        <w:rPr>
          <w:rFonts w:ascii="Cambria" w:eastAsia="Times New Roman" w:hAnsi="Cambria" w:cs="B Lotus" w:hint="cs"/>
          <w:bCs/>
          <w:sz w:val="24"/>
          <w:rtl/>
          <w:lang w:bidi="fa-IR"/>
        </w:rPr>
        <w:t>منابع</w:t>
      </w:r>
    </w:p>
    <w:p w14:paraId="1D2369FD" w14:textId="77777777" w:rsidR="00F85594" w:rsidRPr="00F85594" w:rsidRDefault="00F85594" w:rsidP="00F8559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Calibri" w:hAnsi="Times New Roman" w:cs="B Lotus"/>
          <w:sz w:val="24"/>
          <w:rtl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قرآن کریم.</w:t>
      </w:r>
    </w:p>
    <w:p w14:paraId="72A5D471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ابن‌فارس، احمد؛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معجم مقاییس‌اللغه؛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قم: مرکز انتشارات دفتر تبلیغات اسلامی حوزه علمیه قم، 1404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ق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.</w:t>
      </w:r>
    </w:p>
    <w:p w14:paraId="5ED3E278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/>
          <w:sz w:val="24"/>
          <w:rtl/>
          <w:lang w:bidi="fa-IR"/>
        </w:rPr>
        <w:t>ابن‌منظور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، محمدبن‌مكرم؛ ‏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لسان‌العرب‏؛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چاپ سوم، بيروت:‏ دار صادر، 1414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ق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.</w:t>
      </w:r>
    </w:p>
    <w:p w14:paraId="01A3F355" w14:textId="77777777" w:rsidR="00F85594" w:rsidRPr="00F85594" w:rsidRDefault="00F85594" w:rsidP="00F85594">
      <w:pPr>
        <w:numPr>
          <w:ilvl w:val="0"/>
          <w:numId w:val="1"/>
        </w:numPr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  <w:rtl/>
          <w:lang w:bidi="fa-IR"/>
        </w:rPr>
        <w:t>امین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،</w:t>
      </w:r>
      <w:r w:rsidRPr="00F85594">
        <w:rPr>
          <w:rFonts w:ascii="Times New Roman" w:eastAsia="Calibri" w:hAnsi="Times New Roman" w:cs="Times New Roman" w:hint="cs"/>
          <w:sz w:val="24"/>
          <w:rtl/>
          <w:lang w:bidi="fa-IR"/>
        </w:rPr>
        <w:t> 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سیده نصرت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‌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بیگم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؛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/>
          <w:b/>
          <w:bCs/>
          <w:sz w:val="24"/>
          <w:rtl/>
          <w:lang w:bidi="fa-IR"/>
        </w:rPr>
        <w:t>مخزن العرفان در علوم قرآن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اصفهان: 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کتاب‌فروش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ی ثقفی، </w:t>
      </w:r>
      <w:r w:rsidRPr="00F85594">
        <w:rPr>
          <w:rFonts w:ascii="Times New Roman" w:eastAsia="Calibri" w:hAnsi="Times New Roman" w:cs="B Lotus" w:hint="cs"/>
          <w:sz w:val="24"/>
          <w:highlight w:val="green"/>
          <w:rtl/>
          <w:lang w:bidi="fa-IR"/>
        </w:rPr>
        <w:t>1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403ق</w:t>
      </w:r>
    </w:p>
    <w:p w14:paraId="09BAC046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انوری، حسن؛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فرهنگ بزرگ سخن؛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تهران: سخن، 1381 ش.</w:t>
      </w:r>
    </w:p>
    <w:p w14:paraId="5C6F0057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</w:rPr>
        <w:t xml:space="preserve">بهشتي، محمد؛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</w:rPr>
        <w:t>مبانی تربیت از دیدگاه قرآن</w:t>
      </w:r>
      <w:r w:rsidRPr="00F85594">
        <w:rPr>
          <w:rFonts w:ascii="Times New Roman" w:eastAsia="Calibri" w:hAnsi="Times New Roman" w:cs="B Lotus" w:hint="cs"/>
          <w:sz w:val="24"/>
          <w:rtl/>
        </w:rPr>
        <w:t>؛ تهران: سازمان انتشارات پژوهشگاه فرهنگ و اندیشه اسلامی، 1387</w:t>
      </w:r>
      <w:r w:rsidRPr="00F85594">
        <w:rPr>
          <w:rFonts w:ascii="Times New Roman" w:eastAsia="Calibri" w:hAnsi="Times New Roman" w:cs="B Lotus"/>
          <w:sz w:val="24"/>
          <w:rtl/>
        </w:rPr>
        <w:t xml:space="preserve"> ش</w:t>
      </w:r>
      <w:r w:rsidRPr="00F85594">
        <w:rPr>
          <w:rFonts w:ascii="Times New Roman" w:eastAsia="Calibri" w:hAnsi="Times New Roman" w:cs="B Lotus" w:hint="cs"/>
          <w:sz w:val="24"/>
          <w:rtl/>
        </w:rPr>
        <w:t>.</w:t>
      </w:r>
    </w:p>
    <w:p w14:paraId="296CF6D1" w14:textId="77777777" w:rsidR="00F85594" w:rsidRPr="00F85594" w:rsidRDefault="00F85594" w:rsidP="00F85594">
      <w:pPr>
        <w:numPr>
          <w:ilvl w:val="0"/>
          <w:numId w:val="1"/>
        </w:numPr>
        <w:spacing w:before="120" w:after="200" w:line="240" w:lineRule="auto"/>
        <w:jc w:val="both"/>
        <w:rPr>
          <w:rFonts w:ascii="Times New Roman" w:eastAsia="Calibri" w:hAnsi="Times New Roman" w:cs="B Lotus"/>
          <w:sz w:val="24"/>
          <w:highlight w:val="green"/>
        </w:rPr>
      </w:pPr>
      <w:r w:rsidRPr="00F85594">
        <w:rPr>
          <w:rFonts w:ascii="Times New Roman" w:eastAsia="Calibri" w:hAnsi="Times New Roman" w:cs="B Lotus" w:hint="cs"/>
          <w:sz w:val="24"/>
          <w:highlight w:val="green"/>
          <w:rtl/>
          <w:lang w:bidi="fa-IR"/>
        </w:rPr>
        <w:t>بیهقی،</w:t>
      </w:r>
      <w:r w:rsidRPr="00F85594">
        <w:rPr>
          <w:rFonts w:ascii="Times New Roman" w:eastAsia="Calibri" w:hAnsi="Times New Roman" w:cs="B Lotus"/>
          <w:sz w:val="24"/>
          <w:highlight w:val="green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 w:hint="cs"/>
          <w:sz w:val="24"/>
          <w:highlight w:val="green"/>
          <w:rtl/>
          <w:lang w:bidi="fa-IR"/>
        </w:rPr>
        <w:t>احمدبن‌حسین؛</w:t>
      </w:r>
      <w:r w:rsidRPr="00F85594">
        <w:rPr>
          <w:rFonts w:ascii="Times New Roman" w:eastAsia="Calibri" w:hAnsi="Times New Roman" w:cs="B Lotus"/>
          <w:sz w:val="24"/>
          <w:highlight w:val="green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/>
          <w:rtl/>
        </w:rPr>
        <w:t>دلائل النبوه و معرفه احوال صاحب الشریعه</w:t>
      </w:r>
      <w:r w:rsidRPr="00F85594">
        <w:rPr>
          <w:rFonts w:ascii="Times New Roman" w:eastAsia="Calibri" w:hAnsi="Times New Roman" w:cs="B Lotus" w:hint="cs"/>
          <w:b/>
          <w:bCs/>
          <w:sz w:val="24"/>
          <w:highlight w:val="green"/>
          <w:rtl/>
          <w:lang w:bidi="fa-IR"/>
        </w:rPr>
        <w:t>، ترجمه محمود مهدوی دامغانی، تهران: شرکت انتشارات علمی و فرهنگی، 1361؛</w:t>
      </w:r>
    </w:p>
    <w:p w14:paraId="54456C9E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راغب اصفهانی، حسین‌بن‌محمد؛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المفردات فی غریب القرآن؛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بیروت: دارالعلم، الدارالشامیه، 1412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ق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.</w:t>
      </w:r>
    </w:p>
    <w:p w14:paraId="0664C830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/>
          <w:sz w:val="24"/>
          <w:rtl/>
          <w:lang w:bidi="fa-IR"/>
        </w:rPr>
        <w:t>سبحانی،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جعفر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؛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/>
          <w:b/>
          <w:bCs/>
          <w:sz w:val="24"/>
          <w:rtl/>
          <w:lang w:bidi="fa-IR"/>
        </w:rPr>
        <w:t>سیماى عقاید شیعه؛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ترجمه‌ی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جواد محدثی؛ </w:t>
      </w:r>
      <w:r w:rsidRPr="00F85594">
        <w:rPr>
          <w:rFonts w:ascii="Times New Roman" w:eastAsia="Calibri" w:hAnsi="Times New Roman" w:cs="B Lotus"/>
          <w:sz w:val="16"/>
          <w:szCs w:val="16"/>
          <w:rtl/>
          <w:lang w:bidi="fa-IR"/>
        </w:rPr>
        <w:commentReference w:id="0"/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قم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: دارالحدیث، 1386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.</w:t>
      </w:r>
    </w:p>
    <w:p w14:paraId="6360844B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/>
          <w:sz w:val="24"/>
          <w:rtl/>
        </w:rPr>
        <w:t>جواد</w:t>
      </w:r>
      <w:r w:rsidRPr="00F85594">
        <w:rPr>
          <w:rFonts w:ascii="Times New Roman" w:eastAsia="Calibri" w:hAnsi="Times New Roman" w:cs="B Lotus" w:hint="cs"/>
          <w:sz w:val="24"/>
          <w:rtl/>
        </w:rPr>
        <w:t>ی</w:t>
      </w:r>
      <w:r w:rsidRPr="00F85594">
        <w:rPr>
          <w:rFonts w:ascii="Times New Roman" w:eastAsia="Calibri" w:hAnsi="Times New Roman" w:cs="B Lotus"/>
          <w:sz w:val="24"/>
          <w:rtl/>
        </w:rPr>
        <w:t xml:space="preserve"> آمل</w:t>
      </w:r>
      <w:r w:rsidRPr="00F85594">
        <w:rPr>
          <w:rFonts w:ascii="Times New Roman" w:eastAsia="Calibri" w:hAnsi="Times New Roman" w:cs="B Lotus" w:hint="cs"/>
          <w:sz w:val="24"/>
          <w:rtl/>
        </w:rPr>
        <w:t>ی،</w:t>
      </w:r>
      <w:r w:rsidRPr="00F85594">
        <w:rPr>
          <w:rFonts w:ascii="Times New Roman" w:eastAsia="Calibri" w:hAnsi="Times New Roman" w:cs="Times New Roman" w:hint="cs"/>
          <w:sz w:val="24"/>
          <w:rtl/>
        </w:rPr>
        <w:t> </w:t>
      </w:r>
      <w:r w:rsidRPr="00F85594">
        <w:rPr>
          <w:rFonts w:ascii="Times New Roman" w:eastAsia="Calibri" w:hAnsi="Times New Roman" w:cs="B Lotus" w:hint="cs"/>
          <w:sz w:val="24"/>
          <w:rtl/>
        </w:rPr>
        <w:t xml:space="preserve">عبدالله و رحیمیان محقق، عباس؛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</w:rPr>
        <w:t>سرچشمه اندیشه</w:t>
      </w:r>
      <w:r w:rsidRPr="00F85594">
        <w:rPr>
          <w:rFonts w:ascii="Times New Roman" w:eastAsia="Calibri" w:hAnsi="Times New Roman" w:cs="B Lotus" w:hint="cs"/>
          <w:sz w:val="24"/>
          <w:rtl/>
        </w:rPr>
        <w:t>؛ چاپ سوم، قم: اسراء، 1386</w:t>
      </w:r>
      <w:r w:rsidRPr="00F85594">
        <w:rPr>
          <w:rFonts w:ascii="Times New Roman" w:eastAsia="Calibri" w:hAnsi="Times New Roman" w:cs="B Lotus"/>
          <w:sz w:val="24"/>
          <w:rtl/>
        </w:rPr>
        <w:t xml:space="preserve"> ش</w:t>
      </w:r>
      <w:r w:rsidRPr="00F85594">
        <w:rPr>
          <w:rFonts w:ascii="Times New Roman" w:eastAsia="Calibri" w:hAnsi="Times New Roman" w:cs="B Lotus" w:hint="cs"/>
          <w:sz w:val="24"/>
          <w:rtl/>
        </w:rPr>
        <w:t>.</w:t>
      </w:r>
    </w:p>
    <w:p w14:paraId="08C02D8E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rtl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طباطبايى، محمدحسين‏</w:t>
      </w:r>
      <w:r w:rsidRPr="00F85594">
        <w:rPr>
          <w:rFonts w:ascii="Times New Roman" w:eastAsia="Calibri" w:hAnsi="Times New Roman" w:cs="B Lotus" w:hint="cs"/>
          <w:sz w:val="24"/>
          <w:rtl/>
        </w:rPr>
        <w:t>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الميزان فی تفسیر القرآن؛</w:t>
      </w:r>
      <w:r w:rsidRPr="00F85594">
        <w:rPr>
          <w:rFonts w:ascii="Times New Roman" w:eastAsia="Calibri" w:hAnsi="Times New Roman" w:cs="B Lotus" w:hint="cs"/>
          <w:sz w:val="24"/>
          <w:rtl/>
        </w:rPr>
        <w:t xml:space="preserve"> چاپ دوم، 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بيروت: ‏مؤسسة الأعلمي للمطبوعات،‏ </w:t>
      </w:r>
      <w:r w:rsidRPr="00F85594">
        <w:rPr>
          <w:rFonts w:ascii="Times New Roman" w:eastAsia="Calibri" w:hAnsi="Times New Roman" w:cs="B Lotus" w:hint="cs"/>
          <w:sz w:val="24"/>
          <w:rtl/>
        </w:rPr>
        <w:t>1390</w:t>
      </w:r>
      <w:r w:rsidRPr="00F85594">
        <w:rPr>
          <w:rFonts w:ascii="Times New Roman" w:eastAsia="Calibri" w:hAnsi="Times New Roman" w:cs="B Lotus"/>
          <w:sz w:val="24"/>
          <w:rtl/>
        </w:rPr>
        <w:t xml:space="preserve"> ق</w:t>
      </w:r>
      <w:r w:rsidRPr="00F85594">
        <w:rPr>
          <w:rFonts w:ascii="Times New Roman" w:eastAsia="Calibri" w:hAnsi="Times New Roman" w:cs="B Lotus" w:hint="cs"/>
          <w:sz w:val="24"/>
          <w:rtl/>
        </w:rPr>
        <w:t>‏.</w:t>
      </w:r>
    </w:p>
    <w:p w14:paraId="4FA0612C" w14:textId="77777777" w:rsidR="00F85594" w:rsidRPr="00F85594" w:rsidRDefault="00F85594" w:rsidP="00F85594">
      <w:pPr>
        <w:numPr>
          <w:ilvl w:val="0"/>
          <w:numId w:val="1"/>
        </w:numPr>
        <w:spacing w:before="120" w:after="200" w:line="240" w:lineRule="auto"/>
        <w:jc w:val="both"/>
        <w:rPr>
          <w:rFonts w:ascii="Times New Roman" w:eastAsia="Calibri" w:hAnsi="Times New Roman" w:cs="B Lotus"/>
          <w:sz w:val="24"/>
          <w:rtl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طبری،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محمدبن‌جرير؛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تاریخ</w:t>
      </w:r>
      <w:r w:rsidRPr="00F85594">
        <w:rPr>
          <w:rFonts w:ascii="Times New Roman" w:eastAsia="Calibri" w:hAnsi="Times New Roman" w:cs="B Lotus"/>
          <w:b/>
          <w:bCs/>
          <w:sz w:val="24"/>
          <w:rtl/>
          <w:lang w:bidi="fa-IR"/>
        </w:rPr>
        <w:t xml:space="preserve">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الامم و الملوك؛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محمد ابوالفضل ابراهيم؛ بيروت: دارالتراث، بي‌تا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‌.</w:t>
      </w:r>
    </w:p>
    <w:p w14:paraId="56BCC4DA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rtl/>
        </w:rPr>
      </w:pPr>
      <w:r w:rsidRPr="00F85594">
        <w:rPr>
          <w:rFonts w:ascii="Times New Roman" w:eastAsia="Calibri" w:hAnsi="Times New Roman" w:cs="B Lotus" w:hint="cs"/>
          <w:sz w:val="24"/>
          <w:rtl/>
        </w:rPr>
        <w:t xml:space="preserve">فارابي، </w:t>
      </w:r>
      <w:r w:rsidRPr="00F85594">
        <w:rPr>
          <w:rFonts w:ascii="Times New Roman" w:eastAsia="Calibri" w:hAnsi="Times New Roman" w:cs="B Lotus"/>
          <w:sz w:val="24"/>
          <w:rtl/>
        </w:rPr>
        <w:t>ابونصر</w:t>
      </w:r>
      <w:r w:rsidRPr="00F85594">
        <w:rPr>
          <w:rFonts w:ascii="Times New Roman" w:eastAsia="Calibri" w:hAnsi="Times New Roman" w:cs="B Lotus" w:hint="cs"/>
          <w:sz w:val="24"/>
          <w:rtl/>
        </w:rPr>
        <w:t>؛</w:t>
      </w:r>
      <w:r w:rsidRPr="00F85594">
        <w:rPr>
          <w:rFonts w:ascii="Times New Roman" w:eastAsia="Calibri" w:hAnsi="Times New Roman" w:cs="B Lotus"/>
          <w:sz w:val="24"/>
          <w:rtl/>
        </w:rPr>
        <w:t xml:space="preserve">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</w:rPr>
        <w:t>فصول منتزعه</w:t>
      </w:r>
      <w:r w:rsidRPr="00F85594">
        <w:rPr>
          <w:rFonts w:ascii="Times New Roman" w:eastAsia="Calibri" w:hAnsi="Times New Roman" w:cs="B Lotus" w:hint="cs"/>
          <w:sz w:val="24"/>
          <w:rtl/>
        </w:rPr>
        <w:t>؛ تحقيق: فوزي متري نجار؛ بيروت: دارالمشرق، 1971 م.</w:t>
      </w:r>
    </w:p>
    <w:p w14:paraId="22D8C04E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فرامرز قراملکی، احد؛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 xml:space="preserve">ادب </w:t>
      </w:r>
      <w:r w:rsidRPr="00F85594">
        <w:rPr>
          <w:rFonts w:ascii="Times New Roman" w:eastAsia="Calibri" w:hAnsi="Times New Roman" w:cs="B Lotus"/>
          <w:b/>
          <w:bCs/>
          <w:sz w:val="24"/>
          <w:rtl/>
          <w:lang w:bidi="fa-IR"/>
        </w:rPr>
        <w:t>نقدپذ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یری</w:t>
      </w:r>
      <w:r w:rsidRPr="00F85594">
        <w:rPr>
          <w:rFonts w:ascii="Times New Roman" w:eastAsia="Calibri" w:hAnsi="Times New Roman" w:cs="B Lotus"/>
          <w:b/>
          <w:bCs/>
          <w:sz w:val="24"/>
          <w:rtl/>
          <w:lang w:bidi="fa-IR"/>
        </w:rPr>
        <w:t xml:space="preserve"> (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1) (تعریف و مبانی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)؛ نقد کتاب فقه و حقوق، شماره‌ی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1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، 1394 ش. </w:t>
      </w:r>
    </w:p>
    <w:p w14:paraId="70563365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فراهیدی، خلیل‌بن‌احمد؛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کتاب العین؛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قم: هجرت، 1410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ق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.</w:t>
      </w:r>
    </w:p>
    <w:p w14:paraId="35FE9956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قرشى، 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عل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ی‌اکبر</w:t>
      </w:r>
      <w:r w:rsidRPr="00F85594">
        <w:rPr>
          <w:rFonts w:ascii="Times New Roman" w:eastAsia="Calibri" w:hAnsi="Times New Roman" w:cs="B Lotus" w:hint="cs"/>
          <w:sz w:val="24"/>
          <w:rtl/>
        </w:rPr>
        <w:t xml:space="preserve">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</w:rPr>
        <w:t>قاموس قرآن؛</w:t>
      </w:r>
      <w:r w:rsidRPr="00F85594">
        <w:rPr>
          <w:rFonts w:ascii="Times New Roman" w:eastAsia="Calibri" w:hAnsi="Times New Roman" w:cs="B Lotus" w:hint="cs"/>
          <w:sz w:val="24"/>
          <w:rtl/>
        </w:rPr>
        <w:t xml:space="preserve"> چاپ ششم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، </w:t>
      </w:r>
      <w:r w:rsidRPr="00F85594">
        <w:rPr>
          <w:rFonts w:ascii="Times New Roman" w:eastAsia="Calibri" w:hAnsi="Times New Roman" w:cs="B Lotus" w:hint="cs"/>
          <w:sz w:val="24"/>
          <w:rtl/>
        </w:rPr>
        <w:t xml:space="preserve">تهران: ‏دار الكتب الاسلاميه،‏ 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‏1371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ش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.‏</w:t>
      </w:r>
    </w:p>
    <w:p w14:paraId="034D4499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ar-IQ"/>
        </w:rPr>
        <w:t>مطهري، مرتضی؛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ar-IQ"/>
        </w:rPr>
        <w:t xml:space="preserve"> مجموعه آثار استاد شهيد مطهرى؛ </w:t>
      </w:r>
      <w:r w:rsidRPr="00F85594">
        <w:rPr>
          <w:rFonts w:ascii="Times New Roman" w:eastAsia="Calibri" w:hAnsi="Times New Roman" w:cs="B Lotus" w:hint="cs"/>
          <w:sz w:val="24"/>
          <w:rtl/>
          <w:lang w:bidi="ar-IQ"/>
        </w:rPr>
        <w:t>چاپ هشتم، قم: صدرا،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ar-IQ"/>
        </w:rPr>
        <w:t xml:space="preserve"> </w:t>
      </w:r>
      <w:r w:rsidRPr="00F85594">
        <w:rPr>
          <w:rFonts w:ascii="Times New Roman" w:eastAsia="Calibri" w:hAnsi="Times New Roman" w:cs="B Lotus" w:hint="cs"/>
          <w:sz w:val="24"/>
          <w:rtl/>
          <w:lang w:bidi="ar-IQ"/>
        </w:rPr>
        <w:t>1372</w:t>
      </w:r>
      <w:r w:rsidRPr="00F85594">
        <w:rPr>
          <w:rFonts w:ascii="Times New Roman" w:eastAsia="Calibri" w:hAnsi="Times New Roman" w:cs="B Lotus"/>
          <w:sz w:val="24"/>
          <w:rtl/>
          <w:lang w:bidi="ar-IQ"/>
        </w:rPr>
        <w:t xml:space="preserve"> ش</w:t>
      </w:r>
      <w:r w:rsidRPr="00F85594">
        <w:rPr>
          <w:rFonts w:ascii="Times New Roman" w:eastAsia="Calibri" w:hAnsi="Times New Roman" w:cs="B Lotus" w:hint="cs"/>
          <w:sz w:val="24"/>
          <w:rtl/>
          <w:lang w:bidi="ar-IQ"/>
        </w:rPr>
        <w:t>.</w:t>
      </w:r>
    </w:p>
    <w:p w14:paraId="464D5894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معین، محمد؛ 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>فرهنگ فارسی معین؛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 xml:space="preserve"> تهران: ساحل، 1382 ش.</w:t>
      </w:r>
    </w:p>
    <w:p w14:paraId="204C0C0C" w14:textId="77777777" w:rsidR="00F85594" w:rsidRPr="00F85594" w:rsidRDefault="00F85594" w:rsidP="00F85594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B Lotus"/>
          <w:sz w:val="24"/>
          <w:lang w:bidi="fa-IR"/>
        </w:rPr>
      </w:pP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lastRenderedPageBreak/>
        <w:t>مناوی، محمد عبدالرؤرف؛</w:t>
      </w:r>
      <w:r w:rsidRPr="00F85594">
        <w:rPr>
          <w:rFonts w:ascii="Times New Roman" w:eastAsia="Calibri" w:hAnsi="Times New Roman" w:cs="B Lotus" w:hint="cs"/>
          <w:b/>
          <w:bCs/>
          <w:sz w:val="24"/>
          <w:rtl/>
          <w:lang w:bidi="fa-IR"/>
        </w:rPr>
        <w:t xml:space="preserve"> التوقیف علی مهمات التعاریف؛ 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بیروت: دارالفکرالمعاصر، دمشق: دارالفکر،1410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 ق</w:t>
      </w:r>
      <w:r w:rsidRPr="00F85594">
        <w:rPr>
          <w:rFonts w:ascii="Times New Roman" w:eastAsia="Calibri" w:hAnsi="Times New Roman" w:cs="B Lotus" w:hint="cs"/>
          <w:sz w:val="24"/>
          <w:rtl/>
          <w:lang w:bidi="fa-IR"/>
        </w:rPr>
        <w:t>.</w:t>
      </w:r>
    </w:p>
    <w:p w14:paraId="2076F084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  <w:rtl/>
          <w:lang w:bidi="fa-IR"/>
        </w:rPr>
      </w:pPr>
      <w:r w:rsidRPr="00F85594">
        <w:rPr>
          <w:rFonts w:ascii="Times New Roman" w:eastAsia="Calibri" w:hAnsi="Times New Roman" w:cs="B Lotus"/>
          <w:sz w:val="24"/>
        </w:rPr>
        <w:t xml:space="preserve">Neff, K.D (2003a). The development and validation of a scale to measure self-compassion. Self and Identity, 2(3). </w:t>
      </w:r>
    </w:p>
    <w:p w14:paraId="0DF5CEB9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 xml:space="preserve">Neff, K.D (2003b). Self-compassion: An alternative conceptualization of a healthy attitude toward oneself. Self and Identity, 2(2). </w:t>
      </w:r>
    </w:p>
    <w:p w14:paraId="2A084FB9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>Neff, K.D., Hsieh Y.P.Dejitterat, K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 xml:space="preserve">(2005) </w:t>
      </w:r>
      <w:r w:rsidRPr="00F85594">
        <w:rPr>
          <w:rFonts w:ascii="Times New Roman" w:eastAsia="Calibri" w:hAnsi="Times New Roman" w:cs="B Lotus"/>
          <w:sz w:val="24"/>
        </w:rPr>
        <w:t>Self-compassion, achievement goals, and coping with academic failure. Self and Identity, 4(3), 263-87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.</w:t>
      </w:r>
    </w:p>
    <w:p w14:paraId="1BE72EBF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  <w:rtl/>
          <w:lang w:bidi="fa-IR"/>
        </w:rPr>
      </w:pPr>
      <w:r w:rsidRPr="00F85594">
        <w:rPr>
          <w:rFonts w:ascii="Times New Roman" w:eastAsia="Calibri" w:hAnsi="Times New Roman" w:cs="B Lotus"/>
          <w:sz w:val="24"/>
        </w:rPr>
        <w:t>Neff, K.D., Kirkpatrick, K. L., &amp; Rude, S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.</w:t>
      </w:r>
      <w:r w:rsidRPr="00F85594">
        <w:rPr>
          <w:rFonts w:ascii="Times New Roman" w:eastAsia="Calibri" w:hAnsi="Times New Roman" w:cs="B Lotus"/>
          <w:sz w:val="24"/>
        </w:rPr>
        <w:t>S (2007). Self-compassion and adaptive psychological functioning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.</w:t>
      </w:r>
      <w:r w:rsidRPr="00F85594">
        <w:rPr>
          <w:rFonts w:ascii="Times New Roman" w:eastAsia="Calibri" w:hAnsi="Times New Roman" w:cs="B Lotus"/>
          <w:sz w:val="24"/>
        </w:rPr>
        <w:t xml:space="preserve"> Journal of Research in Personality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,41(1), 139-154.</w:t>
      </w:r>
    </w:p>
    <w:p w14:paraId="0EF91441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  <w:rtl/>
          <w:lang w:bidi="fa-IR"/>
        </w:rPr>
      </w:pPr>
      <w:r w:rsidRPr="00F85594">
        <w:rPr>
          <w:rFonts w:ascii="Times New Roman" w:eastAsia="Calibri" w:hAnsi="Times New Roman" w:cs="B Lotus"/>
          <w:sz w:val="24"/>
        </w:rPr>
        <w:t>Neff, K.D., &amp; McGehee, P (2010). Self-compassion and psychological resilience among adolescents and young adults. Self and Identity, 9(3)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,225-240.</w:t>
      </w:r>
    </w:p>
    <w:p w14:paraId="048AC44E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>Neff, K.D., Pommier, E (2013). The relationship between self-compassion and other focused concern among college undergraduates, community adults, and practicing meditators. Self and Identity, 12(2), 160-176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.</w:t>
      </w:r>
    </w:p>
    <w:p w14:paraId="5A998AC6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>Gilbert, P. &amp; Procter, S (2006)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.</w:t>
      </w:r>
      <w:r w:rsidRPr="00F85594">
        <w:rPr>
          <w:rFonts w:ascii="Times New Roman" w:eastAsia="Calibri" w:hAnsi="Times New Roman" w:cs="B Lotus"/>
          <w:sz w:val="24"/>
        </w:rPr>
        <w:t xml:space="preserve"> Compassionate mind training for people with high shame and self-criticism: Overview and pilot study of a group therapy approach. Clinical Psychology &amp; Psychotherapy, 13(6)</w:t>
      </w:r>
      <w:r w:rsidRPr="00F85594">
        <w:rPr>
          <w:rFonts w:ascii="Times New Roman" w:eastAsia="Calibri" w:hAnsi="Times New Roman" w:cs="B Lotus"/>
          <w:sz w:val="24"/>
          <w:rtl/>
          <w:lang w:bidi="fa-IR"/>
        </w:rPr>
        <w:t>,</w:t>
      </w:r>
      <w:r w:rsidRPr="00F85594">
        <w:rPr>
          <w:rFonts w:ascii="Times New Roman" w:eastAsia="Calibri" w:hAnsi="Times New Roman" w:cs="B Lotus"/>
          <w:sz w:val="24"/>
        </w:rPr>
        <w:t>353-379</w:t>
      </w:r>
    </w:p>
    <w:p w14:paraId="4F6DAEBD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>Neff, Kristin D.; Germer, Christopher K (2012-01-01). "A Pilot Study and Randomized Controlled Trial of the Mindful Self-Compassion Program". Journal of Clinical Psychology. 69 (1): 28–44.</w:t>
      </w:r>
    </w:p>
    <w:p w14:paraId="3DD55636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>Yarnell, L. M., &amp; Neff, K (2013). Self-compassion, Interpersonal Conflict Resolutions, and Wellbeing. Self and Identity, 12, 146-159.</w:t>
      </w:r>
    </w:p>
    <w:p w14:paraId="3C592F62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>Welp, L. R., &amp; Brown, C. M (2013). Self-compassion, empathy, and helping intentions. The Journal of Positive Psychology, 9(1), 54-65.</w:t>
      </w:r>
    </w:p>
    <w:p w14:paraId="447B8D4E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lastRenderedPageBreak/>
        <w:t xml:space="preserve">Birnie, K., Speca, M. &amp; Carlson, L. E (2010). Exploring self-compassion and empathy in the context of mindfulnessbased stress reduction (MBSR). </w:t>
      </w:r>
      <w:r w:rsidRPr="00F85594">
        <w:rPr>
          <w:rFonts w:ascii="Times New Roman" w:eastAsia="Calibri" w:hAnsi="Times New Roman" w:cs="B Lotus"/>
          <w:i/>
          <w:iCs/>
          <w:sz w:val="24"/>
        </w:rPr>
        <w:t>Stress and Health</w:t>
      </w:r>
      <w:r w:rsidRPr="00F85594">
        <w:rPr>
          <w:rFonts w:ascii="Times New Roman" w:eastAsia="Calibri" w:hAnsi="Times New Roman" w:cs="B Lotus"/>
          <w:sz w:val="24"/>
        </w:rPr>
        <w:t>, 26(5), 359° 371.</w:t>
      </w:r>
    </w:p>
    <w:p w14:paraId="52E8C6D8" w14:textId="77777777" w:rsidR="00F85594" w:rsidRPr="00F85594" w:rsidRDefault="00F85594" w:rsidP="00F85594">
      <w:pPr>
        <w:numPr>
          <w:ilvl w:val="0"/>
          <w:numId w:val="1"/>
        </w:numPr>
        <w:bidi w:val="0"/>
        <w:spacing w:before="120" w:after="200" w:line="240" w:lineRule="auto"/>
        <w:jc w:val="both"/>
        <w:rPr>
          <w:rFonts w:ascii="Times New Roman" w:eastAsia="Calibri" w:hAnsi="Times New Roman" w:cs="B Lotus"/>
          <w:sz w:val="24"/>
        </w:rPr>
      </w:pPr>
      <w:r w:rsidRPr="00F85594">
        <w:rPr>
          <w:rFonts w:ascii="Times New Roman" w:eastAsia="Calibri" w:hAnsi="Times New Roman" w:cs="B Lotus"/>
          <w:sz w:val="24"/>
        </w:rPr>
        <w:t xml:space="preserve">Barnard, L. K., &amp; Curry, J. F (2011). Self-Compassion: conceptualization, correlates, interventions. </w:t>
      </w:r>
      <w:r w:rsidRPr="00F85594">
        <w:rPr>
          <w:rFonts w:ascii="Times New Roman" w:eastAsia="Calibri" w:hAnsi="Times New Roman" w:cs="B Lotus"/>
          <w:i/>
          <w:iCs/>
          <w:sz w:val="24"/>
        </w:rPr>
        <w:t>Review of General Psychology</w:t>
      </w:r>
      <w:r w:rsidRPr="00F85594">
        <w:rPr>
          <w:rFonts w:ascii="Times New Roman" w:eastAsia="Calibri" w:hAnsi="Times New Roman" w:cs="B Lotus"/>
          <w:sz w:val="24"/>
        </w:rPr>
        <w:t>, 15(4), 289-303.</w:t>
      </w:r>
    </w:p>
    <w:p w14:paraId="472140AF" w14:textId="77777777" w:rsidR="0086308E" w:rsidRDefault="0086308E">
      <w:bookmarkStart w:id="1" w:name="_GoBack"/>
      <w:bookmarkEnd w:id="1"/>
    </w:p>
    <w:sectPr w:rsidR="0086308E" w:rsidSect="009254F3">
      <w:footerReference w:type="default" r:id="rId7"/>
      <w:footnotePr>
        <w:numRestart w:val="eachPage"/>
      </w:footnotePr>
      <w:pgSz w:w="11906" w:h="16838" w:code="9"/>
      <w:pgMar w:top="1418" w:right="1418" w:bottom="1701" w:left="1418" w:header="709" w:footer="709" w:gutter="0"/>
      <w:cols w:space="708"/>
      <w:bidi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aran" w:date="2022-06-24T20:34:00Z" w:initials="V">
    <w:p w14:paraId="444F52F9" w14:textId="77777777" w:rsidR="00F85594" w:rsidRDefault="00F85594" w:rsidP="00F8559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4F52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FB715" w14:textId="77777777" w:rsidR="00B04319" w:rsidRDefault="00F85594" w:rsidP="00096D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  <w:lang w:bidi="ar-IQ"/>
      </w:rPr>
      <w:t>3</w:t>
    </w:r>
    <w:r>
      <w:rPr>
        <w:noProof/>
      </w:rPr>
      <w:fldChar w:fldCharType="end"/>
    </w:r>
  </w:p>
  <w:p w14:paraId="7A6F80AF" w14:textId="77777777" w:rsidR="00B04319" w:rsidRDefault="00F8559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951E0"/>
    <w:multiLevelType w:val="hybridMultilevel"/>
    <w:tmpl w:val="6BEA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52012"/>
    <w:multiLevelType w:val="hybridMultilevel"/>
    <w:tmpl w:val="25D2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94"/>
    <w:rsid w:val="00013DD1"/>
    <w:rsid w:val="00252E23"/>
    <w:rsid w:val="00666DF8"/>
    <w:rsid w:val="006819E2"/>
    <w:rsid w:val="0086308E"/>
    <w:rsid w:val="00BE7F56"/>
    <w:rsid w:val="00F85594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8206"/>
  <w15:chartTrackingRefBased/>
  <w15:docId w15:val="{D9329042-5853-47FF-BBE3-0A268188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85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594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855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594"/>
  </w:style>
  <w:style w:type="character" w:styleId="CommentReference">
    <w:name w:val="annotation reference"/>
    <w:uiPriority w:val="99"/>
    <w:semiHidden/>
    <w:unhideWhenUsed/>
    <w:rsid w:val="00F8559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2022-11-19T10:07:00Z</dcterms:created>
  <dcterms:modified xsi:type="dcterms:W3CDTF">2022-11-19T10:07:00Z</dcterms:modified>
</cp:coreProperties>
</file>